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4EAD" w14:textId="77777777" w:rsidR="00081726" w:rsidRPr="00823E1E" w:rsidRDefault="00081726" w:rsidP="00823E1E">
      <w:pPr>
        <w:rPr>
          <w:b/>
          <w:bCs/>
          <w:sz w:val="32"/>
          <w:szCs w:val="32"/>
          <w:u w:val="single"/>
        </w:rPr>
      </w:pPr>
    </w:p>
    <w:p w14:paraId="262AB55B" w14:textId="77777777" w:rsidR="00823E1E" w:rsidRPr="00424846" w:rsidRDefault="00823E1E" w:rsidP="00823E1E">
      <w:pPr>
        <w:jc w:val="center"/>
        <w:rPr>
          <w:rFonts w:ascii="Arial" w:hAnsi="Arial" w:cs="Arial"/>
          <w:b/>
          <w:bCs/>
          <w:sz w:val="32"/>
          <w:szCs w:val="32"/>
          <w:u w:val="single"/>
        </w:rPr>
      </w:pPr>
      <w:r w:rsidRPr="00424846">
        <w:rPr>
          <w:rFonts w:ascii="Arial" w:hAnsi="Arial" w:cs="Arial"/>
          <w:b/>
          <w:bCs/>
          <w:sz w:val="32"/>
          <w:szCs w:val="32"/>
          <w:u w:val="single"/>
        </w:rPr>
        <w:t>SHOULD IT CONTINUE TO REMAIN IMPERMISSIBLE FOR THE UK TO USE TORTURE, AS A MEANS OF OBTAINING INFORMATION FROM SUSPECTED CRIMINALS?</w:t>
      </w:r>
    </w:p>
    <w:p w14:paraId="4F7C349B" w14:textId="77777777" w:rsidR="00823E1E" w:rsidRPr="00424846" w:rsidRDefault="00823E1E" w:rsidP="00823E1E">
      <w:pPr>
        <w:jc w:val="center"/>
        <w:rPr>
          <w:b/>
          <w:bCs/>
          <w:sz w:val="24"/>
          <w:szCs w:val="24"/>
          <w:u w:val="single"/>
        </w:rPr>
      </w:pPr>
    </w:p>
    <w:p w14:paraId="27914807" w14:textId="77777777" w:rsidR="00823E1E" w:rsidRPr="00424846" w:rsidRDefault="00823E1E" w:rsidP="00424846">
      <w:pPr>
        <w:rPr>
          <w:b/>
          <w:bCs/>
          <w:sz w:val="24"/>
          <w:szCs w:val="24"/>
          <w:u w:val="single"/>
        </w:rPr>
      </w:pPr>
    </w:p>
    <w:p w14:paraId="0B84EF97" w14:textId="687FB2D1" w:rsidR="00823E1E" w:rsidRDefault="00823E1E" w:rsidP="00823E1E">
      <w:pPr>
        <w:jc w:val="center"/>
        <w:rPr>
          <w:b/>
          <w:bCs/>
          <w:sz w:val="24"/>
          <w:szCs w:val="24"/>
          <w:u w:val="single"/>
        </w:rPr>
      </w:pPr>
    </w:p>
    <w:p w14:paraId="05FBEFB2" w14:textId="2D272521" w:rsidR="00424846" w:rsidRDefault="00424846" w:rsidP="00823E1E">
      <w:pPr>
        <w:jc w:val="center"/>
        <w:rPr>
          <w:b/>
          <w:bCs/>
          <w:sz w:val="24"/>
          <w:szCs w:val="24"/>
          <w:u w:val="single"/>
        </w:rPr>
      </w:pPr>
    </w:p>
    <w:p w14:paraId="3D2A2422" w14:textId="14B90CDD" w:rsidR="00424846" w:rsidRDefault="00424846" w:rsidP="00424846">
      <w:pPr>
        <w:rPr>
          <w:b/>
          <w:bCs/>
          <w:sz w:val="24"/>
          <w:szCs w:val="24"/>
          <w:u w:val="single"/>
        </w:rPr>
      </w:pPr>
    </w:p>
    <w:p w14:paraId="1A2F2BF7" w14:textId="77777777" w:rsidR="00424846" w:rsidRPr="00424846" w:rsidRDefault="00424846" w:rsidP="00424846">
      <w:pPr>
        <w:rPr>
          <w:b/>
          <w:bCs/>
          <w:sz w:val="24"/>
          <w:szCs w:val="24"/>
          <w:u w:val="single"/>
        </w:rPr>
      </w:pPr>
    </w:p>
    <w:p w14:paraId="36FD30C2" w14:textId="77777777" w:rsidR="00823E1E" w:rsidRPr="00424846" w:rsidRDefault="00823E1E" w:rsidP="00823E1E">
      <w:pPr>
        <w:rPr>
          <w:b/>
          <w:bCs/>
          <w:sz w:val="24"/>
          <w:szCs w:val="24"/>
          <w:u w:val="single"/>
        </w:rPr>
      </w:pPr>
    </w:p>
    <w:p w14:paraId="2A44502E" w14:textId="77777777" w:rsidR="00823E1E" w:rsidRPr="00424846" w:rsidRDefault="00823E1E" w:rsidP="00862139">
      <w:pPr>
        <w:jc w:val="center"/>
        <w:rPr>
          <w:rFonts w:ascii="Arial" w:hAnsi="Arial" w:cs="Arial"/>
          <w:sz w:val="24"/>
          <w:szCs w:val="24"/>
        </w:rPr>
      </w:pPr>
      <w:r w:rsidRPr="00424846">
        <w:rPr>
          <w:rFonts w:ascii="Arial" w:hAnsi="Arial" w:cs="Arial"/>
          <w:sz w:val="24"/>
          <w:szCs w:val="24"/>
        </w:rPr>
        <w:t>Student ID number: 1736135</w:t>
      </w:r>
    </w:p>
    <w:p w14:paraId="19C4B60D" w14:textId="77777777" w:rsidR="00823E1E" w:rsidRPr="00424846" w:rsidRDefault="00823E1E" w:rsidP="00862139">
      <w:pPr>
        <w:jc w:val="center"/>
        <w:rPr>
          <w:rFonts w:ascii="Arial" w:hAnsi="Arial" w:cs="Arial"/>
          <w:sz w:val="24"/>
          <w:szCs w:val="24"/>
        </w:rPr>
      </w:pPr>
      <w:r w:rsidRPr="00424846">
        <w:rPr>
          <w:rFonts w:ascii="Arial" w:hAnsi="Arial" w:cs="Arial"/>
          <w:sz w:val="24"/>
          <w:szCs w:val="24"/>
        </w:rPr>
        <w:t>Dissertation Supervisor: Dr Melanie Collard</w:t>
      </w:r>
    </w:p>
    <w:p w14:paraId="2A88D330" w14:textId="77777777" w:rsidR="00823E1E" w:rsidRPr="00424846" w:rsidRDefault="00823E1E" w:rsidP="00823E1E">
      <w:pPr>
        <w:jc w:val="center"/>
        <w:rPr>
          <w:b/>
          <w:bCs/>
          <w:sz w:val="24"/>
          <w:szCs w:val="24"/>
          <w:u w:val="single"/>
        </w:rPr>
      </w:pPr>
    </w:p>
    <w:p w14:paraId="2D4CC045" w14:textId="062CF34E" w:rsidR="00823E1E" w:rsidRDefault="00823E1E" w:rsidP="00823E1E">
      <w:pPr>
        <w:rPr>
          <w:b/>
          <w:bCs/>
          <w:sz w:val="24"/>
          <w:szCs w:val="24"/>
          <w:u w:val="single"/>
        </w:rPr>
      </w:pPr>
    </w:p>
    <w:p w14:paraId="057EB202" w14:textId="1EB6669E" w:rsidR="00424846" w:rsidRDefault="00424846" w:rsidP="00823E1E">
      <w:pPr>
        <w:rPr>
          <w:b/>
          <w:bCs/>
          <w:sz w:val="24"/>
          <w:szCs w:val="24"/>
          <w:u w:val="single"/>
        </w:rPr>
      </w:pPr>
    </w:p>
    <w:p w14:paraId="568B849A" w14:textId="416AF38B" w:rsidR="00424846" w:rsidRDefault="00424846" w:rsidP="00823E1E">
      <w:pPr>
        <w:rPr>
          <w:b/>
          <w:bCs/>
          <w:sz w:val="24"/>
          <w:szCs w:val="24"/>
          <w:u w:val="single"/>
        </w:rPr>
      </w:pPr>
    </w:p>
    <w:p w14:paraId="3F0DEF0B" w14:textId="149840C8" w:rsidR="00424846" w:rsidRDefault="00424846" w:rsidP="00823E1E">
      <w:pPr>
        <w:rPr>
          <w:b/>
          <w:bCs/>
          <w:sz w:val="24"/>
          <w:szCs w:val="24"/>
          <w:u w:val="single"/>
        </w:rPr>
      </w:pPr>
    </w:p>
    <w:p w14:paraId="716888E9" w14:textId="77777777" w:rsidR="00424846" w:rsidRPr="00424846" w:rsidRDefault="00424846" w:rsidP="00823E1E">
      <w:pPr>
        <w:rPr>
          <w:b/>
          <w:bCs/>
          <w:sz w:val="24"/>
          <w:szCs w:val="24"/>
          <w:u w:val="single"/>
        </w:rPr>
      </w:pPr>
    </w:p>
    <w:p w14:paraId="7478DAF3" w14:textId="77777777" w:rsidR="00823E1E" w:rsidRPr="00424846" w:rsidRDefault="00823E1E" w:rsidP="00823E1E">
      <w:pPr>
        <w:jc w:val="center"/>
        <w:rPr>
          <w:b/>
          <w:bCs/>
          <w:sz w:val="24"/>
          <w:szCs w:val="24"/>
          <w:u w:val="single"/>
        </w:rPr>
      </w:pPr>
    </w:p>
    <w:p w14:paraId="5B748BD8" w14:textId="77777777" w:rsidR="00823E1E" w:rsidRPr="00424846" w:rsidRDefault="00823E1E" w:rsidP="00823E1E">
      <w:pPr>
        <w:jc w:val="center"/>
        <w:rPr>
          <w:b/>
          <w:bCs/>
          <w:sz w:val="24"/>
          <w:szCs w:val="24"/>
        </w:rPr>
      </w:pPr>
      <w:r w:rsidRPr="00424846">
        <w:rPr>
          <w:b/>
          <w:bCs/>
          <w:sz w:val="24"/>
          <w:szCs w:val="24"/>
        </w:rPr>
        <w:t>This dissertation is submitted for the degree of LLB of Brunel University –</w:t>
      </w:r>
    </w:p>
    <w:p w14:paraId="2125C925" w14:textId="77777777" w:rsidR="00823E1E" w:rsidRPr="00424846" w:rsidRDefault="00823E1E" w:rsidP="00823E1E">
      <w:pPr>
        <w:jc w:val="center"/>
        <w:rPr>
          <w:b/>
          <w:bCs/>
          <w:sz w:val="24"/>
          <w:szCs w:val="24"/>
        </w:rPr>
      </w:pPr>
      <w:r w:rsidRPr="00424846">
        <w:rPr>
          <w:b/>
          <w:bCs/>
          <w:sz w:val="24"/>
          <w:szCs w:val="24"/>
        </w:rPr>
        <w:t>(2020) This dissertation is entirely my own work and all material from</w:t>
      </w:r>
    </w:p>
    <w:p w14:paraId="41A24497" w14:textId="77777777" w:rsidR="00823E1E" w:rsidRPr="00424846" w:rsidRDefault="00823E1E" w:rsidP="00823E1E">
      <w:pPr>
        <w:jc w:val="center"/>
        <w:rPr>
          <w:b/>
          <w:bCs/>
          <w:sz w:val="24"/>
          <w:szCs w:val="24"/>
        </w:rPr>
      </w:pPr>
      <w:r w:rsidRPr="00424846">
        <w:rPr>
          <w:b/>
          <w:bCs/>
          <w:sz w:val="24"/>
          <w:szCs w:val="24"/>
        </w:rPr>
        <w:t>other sources, published or unpublished, has been duly acknowledged and</w:t>
      </w:r>
    </w:p>
    <w:p w14:paraId="092E3EE2" w14:textId="7C75393D" w:rsidR="00823E1E" w:rsidRPr="00424846" w:rsidRDefault="00823E1E" w:rsidP="00823E1E">
      <w:pPr>
        <w:jc w:val="center"/>
        <w:rPr>
          <w:b/>
          <w:bCs/>
          <w:sz w:val="24"/>
          <w:szCs w:val="24"/>
        </w:rPr>
      </w:pPr>
      <w:r w:rsidRPr="00424846">
        <w:rPr>
          <w:b/>
          <w:bCs/>
          <w:sz w:val="24"/>
          <w:szCs w:val="24"/>
        </w:rPr>
        <w:t xml:space="preserve">cited. </w:t>
      </w:r>
    </w:p>
    <w:p w14:paraId="3821E6DA" w14:textId="07A1FF42" w:rsidR="00823E1E" w:rsidRPr="00424846" w:rsidRDefault="00823E1E" w:rsidP="00823E1E">
      <w:pPr>
        <w:jc w:val="center"/>
        <w:rPr>
          <w:b/>
          <w:bCs/>
          <w:sz w:val="24"/>
          <w:szCs w:val="24"/>
        </w:rPr>
      </w:pPr>
    </w:p>
    <w:p w14:paraId="6CCA3415" w14:textId="77777777" w:rsidR="00823E1E" w:rsidRPr="00424846" w:rsidRDefault="00823E1E" w:rsidP="00823E1E">
      <w:pPr>
        <w:rPr>
          <w:b/>
          <w:bCs/>
          <w:sz w:val="24"/>
          <w:szCs w:val="24"/>
        </w:rPr>
      </w:pPr>
    </w:p>
    <w:p w14:paraId="4E2F1867" w14:textId="77777777" w:rsidR="00823E1E" w:rsidRPr="00424846" w:rsidRDefault="00823E1E" w:rsidP="00823E1E">
      <w:pPr>
        <w:jc w:val="center"/>
        <w:rPr>
          <w:b/>
          <w:bCs/>
          <w:sz w:val="24"/>
          <w:szCs w:val="24"/>
        </w:rPr>
      </w:pPr>
      <w:r w:rsidRPr="00424846">
        <w:rPr>
          <w:b/>
          <w:bCs/>
          <w:sz w:val="24"/>
          <w:szCs w:val="24"/>
        </w:rPr>
        <w:t>-------------------Raheema Mohamoud-------------                          --------26/03/2020-----------------</w:t>
      </w:r>
    </w:p>
    <w:p w14:paraId="7FC7F903" w14:textId="77777777" w:rsidR="00823E1E" w:rsidRPr="00424846" w:rsidRDefault="00823E1E" w:rsidP="00823E1E">
      <w:pPr>
        <w:jc w:val="center"/>
        <w:rPr>
          <w:b/>
          <w:bCs/>
          <w:sz w:val="24"/>
          <w:szCs w:val="24"/>
        </w:rPr>
      </w:pPr>
      <w:r w:rsidRPr="00424846">
        <w:rPr>
          <w:b/>
          <w:bCs/>
          <w:sz w:val="24"/>
          <w:szCs w:val="24"/>
        </w:rPr>
        <w:t xml:space="preserve"> (Signature of Student)                                                              (Date)</w:t>
      </w:r>
    </w:p>
    <w:p w14:paraId="0B4258FF" w14:textId="77777777" w:rsidR="00823E1E" w:rsidRPr="00424846" w:rsidRDefault="00823E1E" w:rsidP="00424846">
      <w:pPr>
        <w:rPr>
          <w:b/>
          <w:bCs/>
          <w:sz w:val="24"/>
          <w:szCs w:val="24"/>
          <w:u w:val="single"/>
        </w:rPr>
      </w:pPr>
    </w:p>
    <w:p w14:paraId="165E7DD3" w14:textId="77777777" w:rsidR="00823E1E" w:rsidRPr="00424846" w:rsidRDefault="00823E1E" w:rsidP="00823E1E">
      <w:pPr>
        <w:rPr>
          <w:b/>
          <w:bCs/>
          <w:sz w:val="24"/>
          <w:szCs w:val="24"/>
          <w:u w:val="single"/>
        </w:rPr>
      </w:pPr>
    </w:p>
    <w:p w14:paraId="0B5CD767" w14:textId="243CF0CF" w:rsidR="00823E1E" w:rsidRPr="00424846" w:rsidRDefault="00823E1E" w:rsidP="00823E1E">
      <w:pPr>
        <w:jc w:val="center"/>
        <w:rPr>
          <w:b/>
          <w:bCs/>
          <w:sz w:val="24"/>
          <w:szCs w:val="24"/>
          <w:u w:val="single"/>
        </w:rPr>
      </w:pPr>
      <w:r w:rsidRPr="00424846">
        <w:rPr>
          <w:b/>
          <w:bCs/>
          <w:sz w:val="24"/>
          <w:szCs w:val="24"/>
          <w:u w:val="single"/>
        </w:rPr>
        <w:t>Acknowledgements</w:t>
      </w:r>
    </w:p>
    <w:p w14:paraId="03C036B4" w14:textId="79133E80" w:rsidR="00823E1E" w:rsidRPr="00424846" w:rsidRDefault="00823E1E" w:rsidP="00823E1E">
      <w:pPr>
        <w:jc w:val="both"/>
        <w:rPr>
          <w:sz w:val="24"/>
          <w:szCs w:val="24"/>
        </w:rPr>
      </w:pPr>
      <w:r w:rsidRPr="00424846">
        <w:rPr>
          <w:sz w:val="24"/>
          <w:szCs w:val="24"/>
        </w:rPr>
        <w:t>I would like to acknowledge the support and guidance of my supervisor, Dr. Melanie Collard, and thank her for the endless time, consideration and support she has provided me with throughout the year. It would not have been possible without her and the wider departments assistance. Also, I would like to acknowledge and thank my family and friends for their support throughout the year.</w:t>
      </w:r>
    </w:p>
    <w:p w14:paraId="7FFF5846" w14:textId="77777777" w:rsidR="00823E1E" w:rsidRPr="00424846" w:rsidRDefault="00823E1E" w:rsidP="00823E1E">
      <w:pPr>
        <w:jc w:val="center"/>
        <w:rPr>
          <w:b/>
          <w:bCs/>
          <w:sz w:val="24"/>
          <w:szCs w:val="24"/>
          <w:u w:val="single"/>
        </w:rPr>
      </w:pPr>
    </w:p>
    <w:p w14:paraId="01EA812D" w14:textId="77777777" w:rsidR="00823E1E" w:rsidRPr="00424846" w:rsidRDefault="00823E1E" w:rsidP="00823E1E">
      <w:pPr>
        <w:jc w:val="center"/>
        <w:rPr>
          <w:b/>
          <w:bCs/>
          <w:sz w:val="24"/>
          <w:szCs w:val="24"/>
          <w:u w:val="single"/>
        </w:rPr>
      </w:pPr>
    </w:p>
    <w:p w14:paraId="1C6A45AF" w14:textId="77777777" w:rsidR="00823E1E" w:rsidRPr="00424846" w:rsidRDefault="00823E1E" w:rsidP="00823E1E">
      <w:pPr>
        <w:jc w:val="center"/>
        <w:rPr>
          <w:b/>
          <w:bCs/>
          <w:sz w:val="24"/>
          <w:szCs w:val="24"/>
          <w:u w:val="single"/>
        </w:rPr>
      </w:pPr>
    </w:p>
    <w:p w14:paraId="3400161B" w14:textId="77777777" w:rsidR="00823E1E" w:rsidRPr="00424846" w:rsidRDefault="00823E1E" w:rsidP="00823E1E">
      <w:pPr>
        <w:jc w:val="center"/>
        <w:rPr>
          <w:b/>
          <w:bCs/>
          <w:sz w:val="24"/>
          <w:szCs w:val="24"/>
          <w:u w:val="single"/>
        </w:rPr>
      </w:pPr>
    </w:p>
    <w:p w14:paraId="7D1691CE" w14:textId="72519AED" w:rsidR="00823E1E" w:rsidRPr="00424846" w:rsidRDefault="00823E1E" w:rsidP="00424846">
      <w:pPr>
        <w:rPr>
          <w:b/>
          <w:bCs/>
          <w:sz w:val="24"/>
          <w:szCs w:val="24"/>
          <w:u w:val="single"/>
        </w:rPr>
      </w:pPr>
    </w:p>
    <w:p w14:paraId="470BE720" w14:textId="2EAE94D0" w:rsidR="00823E1E" w:rsidRPr="00424846" w:rsidRDefault="00823E1E" w:rsidP="00424846">
      <w:pPr>
        <w:rPr>
          <w:b/>
          <w:bCs/>
          <w:sz w:val="24"/>
          <w:szCs w:val="24"/>
          <w:u w:val="single"/>
        </w:rPr>
      </w:pPr>
    </w:p>
    <w:p w14:paraId="05D231C3" w14:textId="77777777" w:rsidR="00823E1E" w:rsidRPr="00424846" w:rsidRDefault="00823E1E" w:rsidP="00823E1E">
      <w:pPr>
        <w:rPr>
          <w:b/>
          <w:bCs/>
          <w:sz w:val="24"/>
          <w:szCs w:val="24"/>
          <w:u w:val="single"/>
        </w:rPr>
      </w:pPr>
    </w:p>
    <w:p w14:paraId="65E47974" w14:textId="77777777" w:rsidR="00823E1E" w:rsidRPr="00424846" w:rsidRDefault="00823E1E" w:rsidP="00823E1E">
      <w:pPr>
        <w:jc w:val="center"/>
        <w:rPr>
          <w:b/>
          <w:bCs/>
          <w:sz w:val="24"/>
          <w:szCs w:val="24"/>
          <w:u w:val="single"/>
        </w:rPr>
      </w:pPr>
    </w:p>
    <w:p w14:paraId="09144D75" w14:textId="77777777" w:rsidR="00823E1E" w:rsidRPr="00424846" w:rsidRDefault="00823E1E" w:rsidP="00823E1E">
      <w:pPr>
        <w:jc w:val="center"/>
        <w:rPr>
          <w:b/>
          <w:bCs/>
          <w:sz w:val="24"/>
          <w:szCs w:val="24"/>
          <w:u w:val="single"/>
        </w:rPr>
      </w:pPr>
    </w:p>
    <w:p w14:paraId="6AEC2DB6" w14:textId="77777777" w:rsidR="00823E1E" w:rsidRPr="00424846" w:rsidRDefault="00823E1E" w:rsidP="00823E1E">
      <w:pPr>
        <w:jc w:val="center"/>
        <w:rPr>
          <w:b/>
          <w:bCs/>
          <w:sz w:val="24"/>
          <w:szCs w:val="24"/>
          <w:u w:val="single"/>
        </w:rPr>
      </w:pPr>
      <w:r w:rsidRPr="00424846">
        <w:rPr>
          <w:b/>
          <w:bCs/>
          <w:sz w:val="24"/>
          <w:szCs w:val="24"/>
          <w:u w:val="single"/>
        </w:rPr>
        <w:t>Abstract</w:t>
      </w:r>
    </w:p>
    <w:p w14:paraId="01A27F67" w14:textId="77777777" w:rsidR="00823E1E" w:rsidRPr="00424846" w:rsidRDefault="00823E1E" w:rsidP="00823E1E">
      <w:pPr>
        <w:jc w:val="both"/>
        <w:rPr>
          <w:sz w:val="24"/>
          <w:szCs w:val="24"/>
        </w:rPr>
      </w:pPr>
      <w:r w:rsidRPr="00424846">
        <w:rPr>
          <w:sz w:val="24"/>
          <w:szCs w:val="24"/>
        </w:rPr>
        <w:t xml:space="preserve">This dissertation aims to assess the three chosen aspects of study, historical, legal and theoretical perspectives in determining whether evidential law should continue to prohibit torture as a means of obtaining confessions or information. Part 1, historical perspectives, will examine the origins and jurisprudence of judicial torture, what rules governed its use, the status it held in medieval English law, theories for and against torture and case studies that exhibited medieval torture in action. Part 2, legal perspectives, will, firstly, examine our current domestic law’s stance towards torture and evaluate the effectiveness of those laws and judgements, as well as, examining what effect the ‘war against terrorism’ has had on the law. Secondly, Part 2 will discuss the stance international law has taken towards state terrorism and assess this against state security. Part 3, theoretical perspectives, will include a discussion for and against the ticking bomb scenario, including reference to the slippery slope argument, Abu Ghraib and the Israeli Landau Model of torture. </w:t>
      </w:r>
    </w:p>
    <w:p w14:paraId="51FE55A1" w14:textId="77777777" w:rsidR="00823E1E" w:rsidRPr="00424846" w:rsidRDefault="00823E1E" w:rsidP="00823E1E">
      <w:pPr>
        <w:jc w:val="center"/>
        <w:rPr>
          <w:b/>
          <w:bCs/>
          <w:sz w:val="24"/>
          <w:szCs w:val="24"/>
          <w:u w:val="single"/>
        </w:rPr>
      </w:pPr>
      <w:r w:rsidRPr="00424846">
        <w:rPr>
          <w:b/>
          <w:bCs/>
          <w:sz w:val="24"/>
          <w:szCs w:val="24"/>
          <w:u w:val="single"/>
        </w:rPr>
        <w:t xml:space="preserve"> </w:t>
      </w:r>
    </w:p>
    <w:p w14:paraId="2527D8B5" w14:textId="77777777" w:rsidR="00823E1E" w:rsidRPr="00424846" w:rsidRDefault="00823E1E" w:rsidP="00823E1E">
      <w:pPr>
        <w:jc w:val="center"/>
        <w:rPr>
          <w:b/>
          <w:bCs/>
          <w:sz w:val="24"/>
          <w:szCs w:val="24"/>
          <w:u w:val="single"/>
        </w:rPr>
      </w:pPr>
    </w:p>
    <w:p w14:paraId="043BA763" w14:textId="420DC6D1" w:rsidR="00823E1E" w:rsidRPr="00424846" w:rsidRDefault="00823E1E" w:rsidP="00823E1E">
      <w:pPr>
        <w:rPr>
          <w:b/>
          <w:bCs/>
          <w:sz w:val="24"/>
          <w:szCs w:val="24"/>
          <w:u w:val="single"/>
        </w:rPr>
      </w:pPr>
    </w:p>
    <w:p w14:paraId="25911E7D" w14:textId="77777777" w:rsidR="00823E1E" w:rsidRPr="00424846" w:rsidRDefault="00823E1E" w:rsidP="00823E1E">
      <w:pPr>
        <w:rPr>
          <w:b/>
          <w:bCs/>
          <w:sz w:val="24"/>
          <w:szCs w:val="24"/>
          <w:u w:val="single"/>
        </w:rPr>
      </w:pPr>
    </w:p>
    <w:p w14:paraId="79751511" w14:textId="77777777" w:rsidR="00424846" w:rsidRDefault="00424846" w:rsidP="00823E1E">
      <w:pPr>
        <w:jc w:val="center"/>
        <w:rPr>
          <w:b/>
          <w:bCs/>
          <w:sz w:val="24"/>
          <w:szCs w:val="24"/>
          <w:u w:val="single"/>
        </w:rPr>
      </w:pPr>
    </w:p>
    <w:p w14:paraId="3DA50890" w14:textId="62A41348" w:rsidR="00BB3638" w:rsidRPr="00624F73" w:rsidRDefault="00823E1E" w:rsidP="00624F73">
      <w:pPr>
        <w:jc w:val="center"/>
        <w:rPr>
          <w:b/>
          <w:bCs/>
          <w:sz w:val="24"/>
          <w:szCs w:val="24"/>
          <w:u w:val="single"/>
        </w:rPr>
      </w:pPr>
      <w:r w:rsidRPr="00424846">
        <w:rPr>
          <w:b/>
          <w:bCs/>
          <w:sz w:val="24"/>
          <w:szCs w:val="24"/>
          <w:u w:val="single"/>
        </w:rPr>
        <w:lastRenderedPageBreak/>
        <w:t>Contents Page:</w:t>
      </w:r>
    </w:p>
    <w:tbl>
      <w:tblPr>
        <w:tblStyle w:val="TableGrid"/>
        <w:tblW w:w="9542" w:type="dxa"/>
        <w:tblLook w:val="04A0" w:firstRow="1" w:lastRow="0" w:firstColumn="1" w:lastColumn="0" w:noHBand="0" w:noVBand="1"/>
      </w:tblPr>
      <w:tblGrid>
        <w:gridCol w:w="4771"/>
        <w:gridCol w:w="4771"/>
      </w:tblGrid>
      <w:tr w:rsidR="00BB3638" w14:paraId="3563C2A1" w14:textId="77777777" w:rsidTr="00B25A4A">
        <w:trPr>
          <w:trHeight w:val="508"/>
        </w:trPr>
        <w:tc>
          <w:tcPr>
            <w:tcW w:w="4771" w:type="dxa"/>
          </w:tcPr>
          <w:p w14:paraId="714C1624" w14:textId="17C94083" w:rsidR="00BB3638" w:rsidRDefault="00BB3638"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Introduction</w:t>
            </w:r>
          </w:p>
        </w:tc>
        <w:tc>
          <w:tcPr>
            <w:tcW w:w="4771" w:type="dxa"/>
          </w:tcPr>
          <w:p w14:paraId="0EFA5A38" w14:textId="7CC59B00"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1-</w:t>
            </w:r>
            <w:r w:rsidR="00BB3638">
              <w:rPr>
                <w:sz w:val="24"/>
                <w:szCs w:val="24"/>
              </w:rPr>
              <w:t>-</w:t>
            </w:r>
            <w:r>
              <w:rPr>
                <w:sz w:val="24"/>
                <w:szCs w:val="24"/>
              </w:rPr>
              <w:t>2</w:t>
            </w:r>
          </w:p>
        </w:tc>
      </w:tr>
      <w:tr w:rsidR="00BB3638" w14:paraId="4A44293C" w14:textId="77777777" w:rsidTr="00B25A4A">
        <w:trPr>
          <w:trHeight w:val="715"/>
        </w:trPr>
        <w:tc>
          <w:tcPr>
            <w:tcW w:w="9542" w:type="dxa"/>
            <w:gridSpan w:val="2"/>
          </w:tcPr>
          <w:p w14:paraId="7939F450" w14:textId="3F287412" w:rsidR="00BB3638" w:rsidRPr="00624F73" w:rsidRDefault="00BB3638" w:rsidP="00BB3638">
            <w:pPr>
              <w:jc w:val="center"/>
              <w:rPr>
                <w:sz w:val="24"/>
                <w:szCs w:val="24"/>
              </w:rPr>
            </w:pPr>
            <w:r w:rsidRPr="00624F73">
              <w:rPr>
                <w:sz w:val="24"/>
                <w:szCs w:val="24"/>
              </w:rPr>
              <w:t>Section 1: Historical Perspective</w:t>
            </w:r>
          </w:p>
          <w:p w14:paraId="40745741" w14:textId="77777777" w:rsidR="00BB3638" w:rsidRDefault="00BB3638" w:rsidP="00BB3638">
            <w:pPr>
              <w:tabs>
                <w:tab w:val="left" w:pos="720"/>
                <w:tab w:val="left" w:pos="1440"/>
                <w:tab w:val="left" w:pos="2160"/>
                <w:tab w:val="left" w:pos="2880"/>
                <w:tab w:val="left" w:pos="3600"/>
                <w:tab w:val="left" w:pos="4320"/>
                <w:tab w:val="left" w:pos="7344"/>
              </w:tabs>
              <w:rPr>
                <w:sz w:val="24"/>
                <w:szCs w:val="24"/>
              </w:rPr>
            </w:pPr>
          </w:p>
        </w:tc>
      </w:tr>
      <w:tr w:rsidR="00BB3638" w14:paraId="00DE4EEE" w14:textId="77777777" w:rsidTr="00B25A4A">
        <w:trPr>
          <w:trHeight w:val="639"/>
        </w:trPr>
        <w:tc>
          <w:tcPr>
            <w:tcW w:w="4771" w:type="dxa"/>
          </w:tcPr>
          <w:p w14:paraId="33EECDB8" w14:textId="4F4847AF" w:rsidR="00BB3638" w:rsidRDefault="00BB3638"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Origins and Evolution of torture in Law</w:t>
            </w:r>
          </w:p>
        </w:tc>
        <w:tc>
          <w:tcPr>
            <w:tcW w:w="4771" w:type="dxa"/>
          </w:tcPr>
          <w:p w14:paraId="6B56ED66" w14:textId="79E74F47"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3-5</w:t>
            </w:r>
          </w:p>
        </w:tc>
      </w:tr>
      <w:tr w:rsidR="00BB3638" w14:paraId="470C5801" w14:textId="77777777" w:rsidTr="00B25A4A">
        <w:trPr>
          <w:trHeight w:val="639"/>
        </w:trPr>
        <w:tc>
          <w:tcPr>
            <w:tcW w:w="4771" w:type="dxa"/>
          </w:tcPr>
          <w:p w14:paraId="6B86B116" w14:textId="32F28198" w:rsidR="00BB3638" w:rsidRDefault="00BB3638"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Rules and Jurisprudence of Judicial Torture</w:t>
            </w:r>
            <w:r>
              <w:rPr>
                <w:sz w:val="24"/>
                <w:szCs w:val="24"/>
              </w:rPr>
              <w:t xml:space="preserve">  </w:t>
            </w:r>
            <w:r w:rsidRPr="00424846">
              <w:rPr>
                <w:sz w:val="24"/>
                <w:szCs w:val="24"/>
              </w:rPr>
              <w:tab/>
            </w:r>
          </w:p>
        </w:tc>
        <w:tc>
          <w:tcPr>
            <w:tcW w:w="4771" w:type="dxa"/>
          </w:tcPr>
          <w:p w14:paraId="294494C7" w14:textId="0AB655E1"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6</w:t>
            </w:r>
            <w:r w:rsidR="00BB3638">
              <w:rPr>
                <w:sz w:val="24"/>
                <w:szCs w:val="24"/>
              </w:rPr>
              <w:t>-</w:t>
            </w:r>
            <w:r>
              <w:rPr>
                <w:sz w:val="24"/>
                <w:szCs w:val="24"/>
              </w:rPr>
              <w:t>8</w:t>
            </w:r>
          </w:p>
        </w:tc>
      </w:tr>
      <w:tr w:rsidR="00BB3638" w14:paraId="7ED41595" w14:textId="77777777" w:rsidTr="00B25A4A">
        <w:trPr>
          <w:trHeight w:val="639"/>
        </w:trPr>
        <w:tc>
          <w:tcPr>
            <w:tcW w:w="4771" w:type="dxa"/>
          </w:tcPr>
          <w:p w14:paraId="3E4AEAD8" w14:textId="4B3F9C24" w:rsidR="00BB3638" w:rsidRPr="00424846" w:rsidRDefault="00BB3638"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 xml:space="preserve">From Torture to Jury </w:t>
            </w:r>
          </w:p>
        </w:tc>
        <w:tc>
          <w:tcPr>
            <w:tcW w:w="4771" w:type="dxa"/>
          </w:tcPr>
          <w:p w14:paraId="5B203D14" w14:textId="6CBC5398"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9</w:t>
            </w:r>
            <w:r w:rsidR="00BB3638">
              <w:rPr>
                <w:sz w:val="24"/>
                <w:szCs w:val="24"/>
              </w:rPr>
              <w:t>-</w:t>
            </w:r>
            <w:r>
              <w:rPr>
                <w:sz w:val="24"/>
                <w:szCs w:val="24"/>
              </w:rPr>
              <w:t>11</w:t>
            </w:r>
            <w:r w:rsidR="00BB3638">
              <w:rPr>
                <w:sz w:val="24"/>
                <w:szCs w:val="24"/>
              </w:rPr>
              <w:t xml:space="preserve">                                                                                    </w:t>
            </w:r>
          </w:p>
        </w:tc>
      </w:tr>
      <w:tr w:rsidR="00BB3638" w14:paraId="50FC5015" w14:textId="77777777" w:rsidTr="00B25A4A">
        <w:trPr>
          <w:trHeight w:val="639"/>
        </w:trPr>
        <w:tc>
          <w:tcPr>
            <w:tcW w:w="4771" w:type="dxa"/>
          </w:tcPr>
          <w:p w14:paraId="4BBE9296" w14:textId="1732F340" w:rsidR="00BB3638" w:rsidRPr="00424846" w:rsidRDefault="00BB3638"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 xml:space="preserve">Torture in England </w:t>
            </w:r>
          </w:p>
        </w:tc>
        <w:tc>
          <w:tcPr>
            <w:tcW w:w="4771" w:type="dxa"/>
          </w:tcPr>
          <w:p w14:paraId="690A7375" w14:textId="3F8EA5A6" w:rsidR="00BB3638" w:rsidRDefault="00BB3638" w:rsidP="00BB3638">
            <w:pPr>
              <w:tabs>
                <w:tab w:val="left" w:pos="720"/>
                <w:tab w:val="left" w:pos="1440"/>
                <w:tab w:val="left" w:pos="2160"/>
                <w:tab w:val="left" w:pos="2880"/>
                <w:tab w:val="left" w:pos="3600"/>
                <w:tab w:val="left" w:pos="4320"/>
                <w:tab w:val="left" w:pos="7344"/>
              </w:tabs>
              <w:rPr>
                <w:sz w:val="24"/>
                <w:szCs w:val="24"/>
              </w:rPr>
            </w:pPr>
            <w:r>
              <w:rPr>
                <w:sz w:val="24"/>
                <w:szCs w:val="24"/>
              </w:rPr>
              <w:t>1</w:t>
            </w:r>
            <w:r w:rsidR="00B25A4A">
              <w:rPr>
                <w:sz w:val="24"/>
                <w:szCs w:val="24"/>
              </w:rPr>
              <w:t>2</w:t>
            </w:r>
            <w:r>
              <w:rPr>
                <w:sz w:val="24"/>
                <w:szCs w:val="24"/>
              </w:rPr>
              <w:t>-1</w:t>
            </w:r>
            <w:r w:rsidR="00B25A4A">
              <w:rPr>
                <w:sz w:val="24"/>
                <w:szCs w:val="24"/>
              </w:rPr>
              <w:t>3</w:t>
            </w:r>
          </w:p>
        </w:tc>
      </w:tr>
      <w:tr w:rsidR="00BB3638" w14:paraId="0A0CCDE3" w14:textId="77777777" w:rsidTr="00B25A4A">
        <w:trPr>
          <w:trHeight w:val="639"/>
        </w:trPr>
        <w:tc>
          <w:tcPr>
            <w:tcW w:w="4771" w:type="dxa"/>
          </w:tcPr>
          <w:p w14:paraId="480CC34C" w14:textId="63ED0F7F" w:rsidR="00BB3638" w:rsidRPr="00424846" w:rsidRDefault="00BB3638"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 xml:space="preserve">The case of William Monke </w:t>
            </w:r>
          </w:p>
        </w:tc>
        <w:tc>
          <w:tcPr>
            <w:tcW w:w="4771" w:type="dxa"/>
          </w:tcPr>
          <w:p w14:paraId="2CAD290E" w14:textId="75EBE30B" w:rsidR="00BB3638" w:rsidRDefault="00BB3638" w:rsidP="00BB3638">
            <w:pPr>
              <w:tabs>
                <w:tab w:val="left" w:pos="720"/>
                <w:tab w:val="left" w:pos="1440"/>
                <w:tab w:val="left" w:pos="2160"/>
                <w:tab w:val="left" w:pos="2880"/>
                <w:tab w:val="left" w:pos="3600"/>
                <w:tab w:val="left" w:pos="4320"/>
                <w:tab w:val="left" w:pos="7344"/>
              </w:tabs>
              <w:rPr>
                <w:sz w:val="24"/>
                <w:szCs w:val="24"/>
              </w:rPr>
            </w:pPr>
            <w:r>
              <w:rPr>
                <w:sz w:val="24"/>
                <w:szCs w:val="24"/>
              </w:rPr>
              <w:t>1</w:t>
            </w:r>
            <w:r w:rsidR="00B25A4A">
              <w:rPr>
                <w:sz w:val="24"/>
                <w:szCs w:val="24"/>
              </w:rPr>
              <w:t>4-15</w:t>
            </w:r>
          </w:p>
        </w:tc>
      </w:tr>
      <w:tr w:rsidR="00624F73" w14:paraId="2460E207" w14:textId="77777777" w:rsidTr="00B25A4A">
        <w:trPr>
          <w:trHeight w:val="714"/>
        </w:trPr>
        <w:tc>
          <w:tcPr>
            <w:tcW w:w="9542" w:type="dxa"/>
            <w:gridSpan w:val="2"/>
          </w:tcPr>
          <w:p w14:paraId="6E15287C" w14:textId="4B849722" w:rsidR="00624F73" w:rsidRPr="00624F73" w:rsidRDefault="00624F73" w:rsidP="00624F73">
            <w:pPr>
              <w:jc w:val="center"/>
              <w:rPr>
                <w:sz w:val="24"/>
                <w:szCs w:val="24"/>
              </w:rPr>
            </w:pPr>
            <w:r w:rsidRPr="00624F73">
              <w:rPr>
                <w:sz w:val="24"/>
                <w:szCs w:val="24"/>
              </w:rPr>
              <w:t>Section 2: Legal Perspective</w:t>
            </w:r>
          </w:p>
          <w:p w14:paraId="33A036BE" w14:textId="77777777" w:rsidR="00624F73" w:rsidRDefault="00624F73" w:rsidP="00BB3638">
            <w:pPr>
              <w:tabs>
                <w:tab w:val="left" w:pos="720"/>
                <w:tab w:val="left" w:pos="1440"/>
                <w:tab w:val="left" w:pos="2160"/>
                <w:tab w:val="left" w:pos="2880"/>
                <w:tab w:val="left" w:pos="3600"/>
                <w:tab w:val="left" w:pos="4320"/>
                <w:tab w:val="left" w:pos="7344"/>
              </w:tabs>
              <w:rPr>
                <w:sz w:val="24"/>
                <w:szCs w:val="24"/>
              </w:rPr>
            </w:pPr>
          </w:p>
        </w:tc>
      </w:tr>
      <w:tr w:rsidR="00BB3638" w14:paraId="101B7E21" w14:textId="77777777" w:rsidTr="00B25A4A">
        <w:trPr>
          <w:trHeight w:val="639"/>
        </w:trPr>
        <w:tc>
          <w:tcPr>
            <w:tcW w:w="4771" w:type="dxa"/>
          </w:tcPr>
          <w:p w14:paraId="1D5F8FC5" w14:textId="3D6A1921" w:rsidR="00BB3638" w:rsidRPr="00424846" w:rsidRDefault="00624F73" w:rsidP="00624F73">
            <w:pPr>
              <w:rPr>
                <w:sz w:val="24"/>
                <w:szCs w:val="24"/>
              </w:rPr>
            </w:pPr>
            <w:r w:rsidRPr="00424846">
              <w:rPr>
                <w:sz w:val="24"/>
                <w:szCs w:val="24"/>
              </w:rPr>
              <w:t>Domestic Law on Torture</w:t>
            </w:r>
          </w:p>
        </w:tc>
        <w:tc>
          <w:tcPr>
            <w:tcW w:w="4771" w:type="dxa"/>
          </w:tcPr>
          <w:p w14:paraId="761B4B0F" w14:textId="5CFF8912"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16-17</w:t>
            </w:r>
          </w:p>
        </w:tc>
      </w:tr>
      <w:tr w:rsidR="00624F73" w14:paraId="4F960881" w14:textId="77777777" w:rsidTr="00B25A4A">
        <w:trPr>
          <w:trHeight w:val="639"/>
        </w:trPr>
        <w:tc>
          <w:tcPr>
            <w:tcW w:w="4771" w:type="dxa"/>
          </w:tcPr>
          <w:p w14:paraId="7DF0BFC1" w14:textId="4C49FEAC" w:rsidR="00624F73" w:rsidRPr="00424846" w:rsidRDefault="00624F73" w:rsidP="00624F73">
            <w:pPr>
              <w:rPr>
                <w:sz w:val="24"/>
                <w:szCs w:val="24"/>
              </w:rPr>
            </w:pPr>
            <w:r w:rsidRPr="00424846">
              <w:rPr>
                <w:sz w:val="24"/>
                <w:szCs w:val="24"/>
              </w:rPr>
              <w:t>Critique</w:t>
            </w:r>
          </w:p>
        </w:tc>
        <w:tc>
          <w:tcPr>
            <w:tcW w:w="4771" w:type="dxa"/>
          </w:tcPr>
          <w:p w14:paraId="17F93C96" w14:textId="337ED1DC" w:rsidR="00624F73"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18-21</w:t>
            </w:r>
          </w:p>
        </w:tc>
      </w:tr>
      <w:tr w:rsidR="00624F73" w14:paraId="1A737BE9" w14:textId="77777777" w:rsidTr="00B25A4A">
        <w:trPr>
          <w:trHeight w:val="639"/>
        </w:trPr>
        <w:tc>
          <w:tcPr>
            <w:tcW w:w="4771" w:type="dxa"/>
          </w:tcPr>
          <w:p w14:paraId="3E332B70" w14:textId="690E4CA4" w:rsidR="00624F73" w:rsidRPr="00424846" w:rsidRDefault="00624F73" w:rsidP="00624F73">
            <w:pPr>
              <w:rPr>
                <w:sz w:val="24"/>
                <w:szCs w:val="24"/>
              </w:rPr>
            </w:pPr>
            <w:r w:rsidRPr="00424846">
              <w:rPr>
                <w:sz w:val="24"/>
                <w:szCs w:val="24"/>
              </w:rPr>
              <w:t xml:space="preserve">International Law on Torture </w:t>
            </w:r>
          </w:p>
          <w:p w14:paraId="5A91381D" w14:textId="45B39747" w:rsidR="00624F73" w:rsidRPr="00424846" w:rsidRDefault="00624F73" w:rsidP="00624F73">
            <w:pPr>
              <w:rPr>
                <w:sz w:val="24"/>
                <w:szCs w:val="24"/>
              </w:rPr>
            </w:pPr>
          </w:p>
        </w:tc>
        <w:tc>
          <w:tcPr>
            <w:tcW w:w="4771" w:type="dxa"/>
          </w:tcPr>
          <w:p w14:paraId="102299D0" w14:textId="0CC6683A" w:rsidR="00624F73"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22-23</w:t>
            </w:r>
          </w:p>
        </w:tc>
      </w:tr>
      <w:tr w:rsidR="00624F73" w14:paraId="773B7D32" w14:textId="77777777" w:rsidTr="00B25A4A">
        <w:trPr>
          <w:trHeight w:val="639"/>
        </w:trPr>
        <w:tc>
          <w:tcPr>
            <w:tcW w:w="4771" w:type="dxa"/>
          </w:tcPr>
          <w:p w14:paraId="6E5B511B" w14:textId="5DE09DED" w:rsidR="00624F73" w:rsidRPr="00424846" w:rsidRDefault="00624F73" w:rsidP="00624F73">
            <w:pPr>
              <w:rPr>
                <w:sz w:val="24"/>
                <w:szCs w:val="24"/>
              </w:rPr>
            </w:pPr>
            <w:r w:rsidRPr="00424846">
              <w:rPr>
                <w:sz w:val="24"/>
                <w:szCs w:val="24"/>
              </w:rPr>
              <w:t>Critique</w:t>
            </w:r>
          </w:p>
        </w:tc>
        <w:tc>
          <w:tcPr>
            <w:tcW w:w="4771" w:type="dxa"/>
          </w:tcPr>
          <w:p w14:paraId="40437710" w14:textId="7EAC5A3B" w:rsidR="00624F73"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24-25</w:t>
            </w:r>
          </w:p>
        </w:tc>
      </w:tr>
      <w:tr w:rsidR="00624F73" w14:paraId="79890543" w14:textId="77777777" w:rsidTr="00B25A4A">
        <w:trPr>
          <w:trHeight w:val="804"/>
        </w:trPr>
        <w:tc>
          <w:tcPr>
            <w:tcW w:w="9542" w:type="dxa"/>
            <w:gridSpan w:val="2"/>
          </w:tcPr>
          <w:p w14:paraId="31A9FA52" w14:textId="77777777" w:rsidR="00624F73" w:rsidRPr="00624F73" w:rsidRDefault="00624F73" w:rsidP="00624F73">
            <w:pPr>
              <w:jc w:val="center"/>
              <w:rPr>
                <w:sz w:val="24"/>
                <w:szCs w:val="24"/>
              </w:rPr>
            </w:pPr>
            <w:r w:rsidRPr="00624F73">
              <w:rPr>
                <w:sz w:val="24"/>
                <w:szCs w:val="24"/>
              </w:rPr>
              <w:t>Section 3: Theoretical Perspective</w:t>
            </w:r>
          </w:p>
          <w:p w14:paraId="78B60274" w14:textId="77777777" w:rsidR="00624F73" w:rsidRDefault="00624F73" w:rsidP="00BB3638">
            <w:pPr>
              <w:tabs>
                <w:tab w:val="left" w:pos="720"/>
                <w:tab w:val="left" w:pos="1440"/>
                <w:tab w:val="left" w:pos="2160"/>
                <w:tab w:val="left" w:pos="2880"/>
                <w:tab w:val="left" w:pos="3600"/>
                <w:tab w:val="left" w:pos="4320"/>
                <w:tab w:val="left" w:pos="7344"/>
              </w:tabs>
              <w:rPr>
                <w:sz w:val="24"/>
                <w:szCs w:val="24"/>
              </w:rPr>
            </w:pPr>
          </w:p>
        </w:tc>
      </w:tr>
      <w:tr w:rsidR="00BB3638" w14:paraId="1CD07ADD" w14:textId="77777777" w:rsidTr="00B25A4A">
        <w:trPr>
          <w:trHeight w:val="639"/>
        </w:trPr>
        <w:tc>
          <w:tcPr>
            <w:tcW w:w="4771" w:type="dxa"/>
          </w:tcPr>
          <w:p w14:paraId="470054A1" w14:textId="666AF48F" w:rsidR="00BB3638" w:rsidRPr="00424846" w:rsidRDefault="00624F73" w:rsidP="00624F73">
            <w:pPr>
              <w:rPr>
                <w:sz w:val="24"/>
                <w:szCs w:val="24"/>
              </w:rPr>
            </w:pPr>
            <w:r w:rsidRPr="00424846">
              <w:rPr>
                <w:sz w:val="24"/>
                <w:szCs w:val="24"/>
              </w:rPr>
              <w:t xml:space="preserve">Ticking Bomb Scenario: For vs Against </w:t>
            </w:r>
          </w:p>
        </w:tc>
        <w:tc>
          <w:tcPr>
            <w:tcW w:w="4771" w:type="dxa"/>
          </w:tcPr>
          <w:p w14:paraId="72BB76FB" w14:textId="40A0E26D"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26-31</w:t>
            </w:r>
          </w:p>
        </w:tc>
      </w:tr>
      <w:tr w:rsidR="00BB3638" w14:paraId="0A5EAC8D" w14:textId="77777777" w:rsidTr="00B25A4A">
        <w:trPr>
          <w:trHeight w:val="639"/>
        </w:trPr>
        <w:tc>
          <w:tcPr>
            <w:tcW w:w="4771" w:type="dxa"/>
          </w:tcPr>
          <w:p w14:paraId="2D249D1B" w14:textId="4A76D06D" w:rsidR="00BB3638" w:rsidRPr="00424846" w:rsidRDefault="00624F73"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Slippery Slope Argument</w:t>
            </w:r>
          </w:p>
        </w:tc>
        <w:tc>
          <w:tcPr>
            <w:tcW w:w="4771" w:type="dxa"/>
          </w:tcPr>
          <w:p w14:paraId="70ABD030" w14:textId="078F4299"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32-33</w:t>
            </w:r>
          </w:p>
        </w:tc>
      </w:tr>
      <w:tr w:rsidR="00BB3638" w14:paraId="122C5723" w14:textId="77777777" w:rsidTr="00B25A4A">
        <w:trPr>
          <w:trHeight w:val="639"/>
        </w:trPr>
        <w:tc>
          <w:tcPr>
            <w:tcW w:w="4771" w:type="dxa"/>
          </w:tcPr>
          <w:p w14:paraId="323427D2" w14:textId="607C9A46" w:rsidR="00BB3638" w:rsidRPr="00424846" w:rsidRDefault="00624F73"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War on Terror</w:t>
            </w:r>
          </w:p>
        </w:tc>
        <w:tc>
          <w:tcPr>
            <w:tcW w:w="4771" w:type="dxa"/>
          </w:tcPr>
          <w:p w14:paraId="15E87710" w14:textId="57B27D07"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34-36</w:t>
            </w:r>
          </w:p>
        </w:tc>
      </w:tr>
      <w:tr w:rsidR="00BB3638" w14:paraId="11C643F6" w14:textId="77777777" w:rsidTr="00B25A4A">
        <w:trPr>
          <w:trHeight w:val="639"/>
        </w:trPr>
        <w:tc>
          <w:tcPr>
            <w:tcW w:w="4771" w:type="dxa"/>
          </w:tcPr>
          <w:p w14:paraId="413698C0" w14:textId="74070A0A" w:rsidR="00BB3638" w:rsidRPr="00424846" w:rsidRDefault="00624F73"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The Abu Ghraib case study</w:t>
            </w:r>
          </w:p>
        </w:tc>
        <w:tc>
          <w:tcPr>
            <w:tcW w:w="4771" w:type="dxa"/>
          </w:tcPr>
          <w:p w14:paraId="668EDD22" w14:textId="5EF1D224"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37-38</w:t>
            </w:r>
          </w:p>
        </w:tc>
      </w:tr>
      <w:tr w:rsidR="00BB3638" w14:paraId="4F0F1AF9" w14:textId="77777777" w:rsidTr="00B25A4A">
        <w:trPr>
          <w:trHeight w:val="639"/>
        </w:trPr>
        <w:tc>
          <w:tcPr>
            <w:tcW w:w="4771" w:type="dxa"/>
          </w:tcPr>
          <w:p w14:paraId="3F9903AB" w14:textId="7C5C095A" w:rsidR="00BB3638" w:rsidRDefault="00624F73" w:rsidP="00BB3638">
            <w:pPr>
              <w:tabs>
                <w:tab w:val="left" w:pos="720"/>
                <w:tab w:val="left" w:pos="1440"/>
                <w:tab w:val="left" w:pos="2160"/>
                <w:tab w:val="left" w:pos="2880"/>
                <w:tab w:val="left" w:pos="3600"/>
                <w:tab w:val="left" w:pos="4320"/>
                <w:tab w:val="left" w:pos="7344"/>
              </w:tabs>
              <w:rPr>
                <w:sz w:val="24"/>
                <w:szCs w:val="24"/>
              </w:rPr>
            </w:pPr>
            <w:r w:rsidRPr="00424846">
              <w:rPr>
                <w:sz w:val="24"/>
                <w:szCs w:val="24"/>
              </w:rPr>
              <w:t>Model of Torture: Israeli Landau Model.</w:t>
            </w:r>
          </w:p>
        </w:tc>
        <w:tc>
          <w:tcPr>
            <w:tcW w:w="4771" w:type="dxa"/>
          </w:tcPr>
          <w:p w14:paraId="6C2E80C6" w14:textId="27FCF5C2"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39-41</w:t>
            </w:r>
          </w:p>
        </w:tc>
      </w:tr>
      <w:tr w:rsidR="00BB3638" w14:paraId="35109A02" w14:textId="77777777" w:rsidTr="00B25A4A">
        <w:trPr>
          <w:trHeight w:val="639"/>
        </w:trPr>
        <w:tc>
          <w:tcPr>
            <w:tcW w:w="4771" w:type="dxa"/>
          </w:tcPr>
          <w:p w14:paraId="23BEB679" w14:textId="77777777" w:rsidR="00624F73" w:rsidRPr="00424846" w:rsidRDefault="00624F73" w:rsidP="00624F73">
            <w:pPr>
              <w:rPr>
                <w:sz w:val="24"/>
                <w:szCs w:val="24"/>
              </w:rPr>
            </w:pPr>
            <w:r w:rsidRPr="00424846">
              <w:rPr>
                <w:sz w:val="24"/>
                <w:szCs w:val="24"/>
              </w:rPr>
              <w:t xml:space="preserve">Conclusion </w:t>
            </w:r>
          </w:p>
          <w:p w14:paraId="2470FD5D" w14:textId="27D67378" w:rsidR="00BB3638" w:rsidRDefault="00BB3638" w:rsidP="00BB3638">
            <w:pPr>
              <w:tabs>
                <w:tab w:val="left" w:pos="720"/>
                <w:tab w:val="left" w:pos="1440"/>
                <w:tab w:val="left" w:pos="2160"/>
                <w:tab w:val="left" w:pos="2880"/>
                <w:tab w:val="left" w:pos="3600"/>
                <w:tab w:val="left" w:pos="4320"/>
                <w:tab w:val="left" w:pos="7344"/>
              </w:tabs>
              <w:rPr>
                <w:sz w:val="24"/>
                <w:szCs w:val="24"/>
              </w:rPr>
            </w:pPr>
          </w:p>
        </w:tc>
        <w:tc>
          <w:tcPr>
            <w:tcW w:w="4771" w:type="dxa"/>
          </w:tcPr>
          <w:p w14:paraId="1DB49DA6" w14:textId="3448C47E" w:rsidR="00BB3638" w:rsidRDefault="00B25A4A" w:rsidP="00BB3638">
            <w:pPr>
              <w:tabs>
                <w:tab w:val="left" w:pos="720"/>
                <w:tab w:val="left" w:pos="1440"/>
                <w:tab w:val="left" w:pos="2160"/>
                <w:tab w:val="left" w:pos="2880"/>
                <w:tab w:val="left" w:pos="3600"/>
                <w:tab w:val="left" w:pos="4320"/>
                <w:tab w:val="left" w:pos="7344"/>
              </w:tabs>
              <w:rPr>
                <w:sz w:val="24"/>
                <w:szCs w:val="24"/>
              </w:rPr>
            </w:pPr>
            <w:r>
              <w:rPr>
                <w:sz w:val="24"/>
                <w:szCs w:val="24"/>
              </w:rPr>
              <w:t>42-42</w:t>
            </w:r>
            <w:bookmarkStart w:id="0" w:name="_GoBack"/>
            <w:bookmarkEnd w:id="0"/>
          </w:p>
        </w:tc>
      </w:tr>
    </w:tbl>
    <w:p w14:paraId="331DC045" w14:textId="470BDBC2" w:rsidR="00424846" w:rsidRPr="00624F73" w:rsidRDefault="009D6080" w:rsidP="00624F73">
      <w:pPr>
        <w:tabs>
          <w:tab w:val="left" w:pos="720"/>
          <w:tab w:val="left" w:pos="1440"/>
          <w:tab w:val="left" w:pos="2160"/>
          <w:tab w:val="left" w:pos="2880"/>
          <w:tab w:val="left" w:pos="3600"/>
          <w:tab w:val="left" w:pos="4320"/>
          <w:tab w:val="left" w:pos="7344"/>
        </w:tabs>
        <w:rPr>
          <w:sz w:val="24"/>
          <w:szCs w:val="24"/>
        </w:rPr>
      </w:pPr>
      <w:r>
        <w:rPr>
          <w:sz w:val="24"/>
          <w:szCs w:val="24"/>
        </w:rPr>
        <w:tab/>
        <w:t xml:space="preserve"> </w:t>
      </w:r>
    </w:p>
    <w:p w14:paraId="0B70259C" w14:textId="77777777" w:rsidR="009D6080" w:rsidRDefault="009D6080" w:rsidP="00862139">
      <w:pPr>
        <w:spacing w:line="480" w:lineRule="auto"/>
        <w:jc w:val="center"/>
        <w:rPr>
          <w:rFonts w:ascii="Arial" w:hAnsi="Arial" w:cs="Arial"/>
          <w:b/>
          <w:bCs/>
          <w:sz w:val="24"/>
          <w:szCs w:val="24"/>
          <w:u w:val="single"/>
        </w:rPr>
        <w:sectPr w:rsidR="009D6080" w:rsidSect="001325EA">
          <w:headerReference w:type="default" r:id="rId8"/>
          <w:headerReference w:type="first" r:id="rId9"/>
          <w:footerReference w:type="first" r:id="rId10"/>
          <w:pgSz w:w="11906" w:h="16838"/>
          <w:pgMar w:top="1440" w:right="1440" w:bottom="1440" w:left="1440" w:header="708" w:footer="708" w:gutter="0"/>
          <w:pgNumType w:start="0"/>
          <w:cols w:space="708"/>
          <w:titlePg/>
          <w:docGrid w:linePitch="360"/>
        </w:sectPr>
      </w:pPr>
    </w:p>
    <w:p w14:paraId="2F94759C" w14:textId="25D22F5F" w:rsidR="00B21479" w:rsidRPr="00424846" w:rsidRDefault="0008209C" w:rsidP="00862139">
      <w:pPr>
        <w:spacing w:line="480" w:lineRule="auto"/>
        <w:jc w:val="center"/>
        <w:rPr>
          <w:rFonts w:ascii="Arial" w:hAnsi="Arial" w:cs="Arial"/>
          <w:b/>
          <w:bCs/>
          <w:sz w:val="24"/>
          <w:szCs w:val="24"/>
          <w:u w:val="single"/>
        </w:rPr>
      </w:pPr>
      <w:r w:rsidRPr="00424846">
        <w:rPr>
          <w:rFonts w:ascii="Arial" w:hAnsi="Arial" w:cs="Arial"/>
          <w:b/>
          <w:bCs/>
          <w:sz w:val="24"/>
          <w:szCs w:val="24"/>
          <w:u w:val="single"/>
        </w:rPr>
        <w:lastRenderedPageBreak/>
        <w:t>INTRODUCTION:</w:t>
      </w:r>
    </w:p>
    <w:p w14:paraId="5E0EF48A" w14:textId="77777777" w:rsidR="0008209C" w:rsidRPr="00424846" w:rsidRDefault="0008209C" w:rsidP="00862139">
      <w:pPr>
        <w:spacing w:line="480" w:lineRule="auto"/>
        <w:jc w:val="both"/>
        <w:rPr>
          <w:rFonts w:ascii="Arial" w:hAnsi="Arial" w:cs="Arial"/>
          <w:sz w:val="24"/>
          <w:szCs w:val="24"/>
        </w:rPr>
      </w:pPr>
      <w:r w:rsidRPr="00424846">
        <w:rPr>
          <w:rFonts w:ascii="Arial" w:hAnsi="Arial" w:cs="Arial"/>
          <w:sz w:val="24"/>
          <w:szCs w:val="24"/>
        </w:rPr>
        <w:t xml:space="preserve">The fundamental question of this thesis is, should it continue to remain impermissible for the United Kingdom to use Torture, as a means of obtaining confessions from suspected criminals, such as terrorists. </w:t>
      </w:r>
    </w:p>
    <w:p w14:paraId="7EC843DF" w14:textId="64627F5E" w:rsidR="0008209C" w:rsidRPr="00424846" w:rsidRDefault="0008209C" w:rsidP="00862139">
      <w:pPr>
        <w:spacing w:line="480" w:lineRule="auto"/>
        <w:jc w:val="both"/>
        <w:rPr>
          <w:rFonts w:ascii="Arial" w:hAnsi="Arial" w:cs="Arial"/>
          <w:sz w:val="24"/>
          <w:szCs w:val="24"/>
        </w:rPr>
      </w:pPr>
      <w:r w:rsidRPr="00424846">
        <w:rPr>
          <w:rFonts w:ascii="Arial" w:hAnsi="Arial" w:cs="Arial"/>
          <w:sz w:val="24"/>
          <w:szCs w:val="24"/>
        </w:rPr>
        <w:t>Judicial Torture (JT) is defined by Langbien, as harm inflicted upon an accused by state officials, sanctioned by the state and judiciary, for the sole purpose of extracting information, relevant to a crime committed, or, a confession uncovering their part in the crime they committed</w:t>
      </w:r>
      <w:r w:rsidR="00A70124" w:rsidRPr="00424846">
        <w:rPr>
          <w:rStyle w:val="FootnoteReference"/>
          <w:rFonts w:ascii="Arial" w:hAnsi="Arial" w:cs="Arial"/>
          <w:sz w:val="24"/>
          <w:szCs w:val="24"/>
        </w:rPr>
        <w:footnoteReference w:id="1"/>
      </w:r>
      <w:r w:rsidRPr="00424846">
        <w:rPr>
          <w:rFonts w:ascii="Arial" w:hAnsi="Arial" w:cs="Arial"/>
          <w:sz w:val="24"/>
          <w:szCs w:val="24"/>
        </w:rPr>
        <w:t xml:space="preserve"> .  For the purpose of this dissertation the same definition will be used, discussed and evaluated throughout this thesis. </w:t>
      </w:r>
    </w:p>
    <w:p w14:paraId="63E0B7DF" w14:textId="3C2BC07A" w:rsidR="0008209C" w:rsidRPr="00424846" w:rsidRDefault="0008209C" w:rsidP="00862139">
      <w:pPr>
        <w:spacing w:line="480" w:lineRule="auto"/>
        <w:jc w:val="both"/>
        <w:rPr>
          <w:rFonts w:ascii="Arial" w:hAnsi="Arial" w:cs="Arial"/>
          <w:sz w:val="24"/>
          <w:szCs w:val="24"/>
        </w:rPr>
      </w:pPr>
      <w:r w:rsidRPr="00424846">
        <w:rPr>
          <w:rFonts w:ascii="Arial" w:hAnsi="Arial" w:cs="Arial"/>
          <w:sz w:val="24"/>
          <w:szCs w:val="24"/>
        </w:rPr>
        <w:t>Prior to its historical prohibition, torture methods were sanctioned by courts across Europe and respected as a reliable pillar of evidential law, however, due to societal, religious and cultural changes, it was increasingly seen as an abhorrent practice that proved itself to be unreliable in delivering accurate information, resulting, in a wave of illegalisation across Medieval Europe. Post-world war two, domestic and international law dictated that state sanctioned torture was absolutely prohibited, under any and all circumstances, leading to approximately 156 countries , including the UK, entrenching this prohibition into their domestic law, setting a new standard for human rights law around the world</w:t>
      </w:r>
      <w:r w:rsidR="00A70124" w:rsidRPr="00424846">
        <w:rPr>
          <w:rStyle w:val="FootnoteReference"/>
          <w:rFonts w:ascii="Arial" w:hAnsi="Arial" w:cs="Arial"/>
          <w:sz w:val="24"/>
          <w:szCs w:val="24"/>
        </w:rPr>
        <w:footnoteReference w:id="2"/>
      </w:r>
      <w:r w:rsidRPr="00424846">
        <w:rPr>
          <w:rFonts w:ascii="Arial" w:hAnsi="Arial" w:cs="Arial"/>
          <w:sz w:val="24"/>
          <w:szCs w:val="24"/>
        </w:rPr>
        <w:t xml:space="preserve">.   Though, this has not quieted down the discussion between philosophers, legal practitioners and academics throughout the 19th, 20th and 21st century, debating whether torture should continue to remain illegal under all those circumstances, or, is there a circumstance that justifies the use of torture. </w:t>
      </w:r>
    </w:p>
    <w:p w14:paraId="3EFADB93" w14:textId="77777777" w:rsidR="0008209C" w:rsidRPr="00424846" w:rsidRDefault="0008209C" w:rsidP="00862139">
      <w:pPr>
        <w:spacing w:line="480" w:lineRule="auto"/>
        <w:jc w:val="both"/>
        <w:rPr>
          <w:rFonts w:ascii="Arial" w:hAnsi="Arial" w:cs="Arial"/>
          <w:sz w:val="24"/>
          <w:szCs w:val="24"/>
        </w:rPr>
      </w:pPr>
      <w:r w:rsidRPr="00424846">
        <w:rPr>
          <w:rFonts w:ascii="Arial" w:hAnsi="Arial" w:cs="Arial"/>
          <w:sz w:val="24"/>
          <w:szCs w:val="24"/>
        </w:rPr>
        <w:lastRenderedPageBreak/>
        <w:t xml:space="preserve">This thesis aims to explore all the discussions above, from the, Historical perspective in Part 1, which will delve into the origins, jurisprudence, changes in the law and the role of torture in medieval English law, in order to determine whether the prohibition of torture, implemented then, has posed as a benefit or hindrance to our law today.  The Legal perspective in Part 2, will discuss domestic and international law’s stance towards torture, identifying what effect the, relatively recent, ‘war against terrorism’ has had on domestic law’s anti-torture stance, assess whether international anti-torture laws present themselves as a hindrance to state security and evaluate the strengths and weaknesses of both.   Finally, the theoretical perspective in Part3, will include a theoretical discussion of the Ticking bomb scenario, analysing arguments for and against legalising torture, the slippery slope argument, war on terror, the Landau Model of torture, Abu Ghraib and the Utilitarian perspective of state sanctioned torture. Here, there is a need to evaluate the strengths and weaknesses of each argument in its ability to support or argue against the thesis question, as well as comparing the Landau model of torture to our law today to determine whether we should adopt a similar approach or maintain our prohibition. From this discussion, this thesis will conclude by either claiming that the law should change to incorporate torture under certain circumstances or remain the same. </w:t>
      </w:r>
    </w:p>
    <w:p w14:paraId="465F3F6A" w14:textId="38C67004" w:rsidR="00B21479" w:rsidRPr="00424846" w:rsidRDefault="0008209C" w:rsidP="00862139">
      <w:pPr>
        <w:spacing w:line="480" w:lineRule="auto"/>
        <w:jc w:val="both"/>
        <w:rPr>
          <w:rFonts w:ascii="Arial" w:hAnsi="Arial" w:cs="Arial"/>
          <w:sz w:val="24"/>
          <w:szCs w:val="24"/>
        </w:rPr>
      </w:pPr>
      <w:r w:rsidRPr="00424846">
        <w:rPr>
          <w:rFonts w:ascii="Arial" w:hAnsi="Arial" w:cs="Arial"/>
          <w:sz w:val="24"/>
          <w:szCs w:val="24"/>
        </w:rPr>
        <w:t>Relevant research for this thesis, was gathered from monographs, case law, judgements and court decisions, statutes and international conventions, Law reports, articles, websites and newspaper articles.</w:t>
      </w:r>
    </w:p>
    <w:p w14:paraId="49BB6227" w14:textId="34B15453" w:rsidR="00B21479" w:rsidRPr="00424846" w:rsidRDefault="00B21479" w:rsidP="00862139">
      <w:pPr>
        <w:spacing w:line="480" w:lineRule="auto"/>
        <w:jc w:val="both"/>
        <w:rPr>
          <w:rFonts w:ascii="Arial" w:hAnsi="Arial" w:cs="Arial"/>
          <w:sz w:val="24"/>
          <w:szCs w:val="24"/>
        </w:rPr>
      </w:pPr>
    </w:p>
    <w:p w14:paraId="1FADC6FA" w14:textId="68B738F6" w:rsidR="00B21479" w:rsidRPr="00424846" w:rsidRDefault="00B21479" w:rsidP="00862139">
      <w:pPr>
        <w:spacing w:line="480" w:lineRule="auto"/>
        <w:jc w:val="both"/>
        <w:rPr>
          <w:rFonts w:ascii="Arial" w:hAnsi="Arial" w:cs="Arial"/>
          <w:sz w:val="24"/>
          <w:szCs w:val="24"/>
        </w:rPr>
      </w:pPr>
    </w:p>
    <w:p w14:paraId="2158AD7E" w14:textId="77777777" w:rsidR="00B21479" w:rsidRPr="00424846" w:rsidRDefault="00B21479" w:rsidP="00862139">
      <w:pPr>
        <w:spacing w:line="480" w:lineRule="auto"/>
        <w:jc w:val="both"/>
        <w:rPr>
          <w:rFonts w:ascii="Arial" w:hAnsi="Arial" w:cs="Arial"/>
          <w:sz w:val="24"/>
          <w:szCs w:val="24"/>
        </w:rPr>
      </w:pPr>
    </w:p>
    <w:p w14:paraId="38F1D774" w14:textId="30E353D5" w:rsidR="00DB0577" w:rsidRPr="00424846" w:rsidRDefault="001E6B5A" w:rsidP="00862139">
      <w:pPr>
        <w:spacing w:line="480" w:lineRule="auto"/>
        <w:jc w:val="center"/>
        <w:rPr>
          <w:rFonts w:ascii="Arial" w:hAnsi="Arial" w:cs="Arial"/>
          <w:b/>
          <w:bCs/>
          <w:sz w:val="28"/>
          <w:szCs w:val="28"/>
          <w:u w:val="single"/>
        </w:rPr>
      </w:pPr>
      <w:r w:rsidRPr="00424846">
        <w:rPr>
          <w:rFonts w:ascii="Arial" w:hAnsi="Arial" w:cs="Arial"/>
          <w:b/>
          <w:bCs/>
          <w:sz w:val="28"/>
          <w:szCs w:val="28"/>
          <w:u w:val="single"/>
        </w:rPr>
        <w:lastRenderedPageBreak/>
        <w:t>Section 1</w:t>
      </w:r>
      <w:r w:rsidR="00A10F7D" w:rsidRPr="00424846">
        <w:rPr>
          <w:rFonts w:ascii="Arial" w:hAnsi="Arial" w:cs="Arial"/>
          <w:b/>
          <w:bCs/>
          <w:sz w:val="28"/>
          <w:szCs w:val="28"/>
          <w:u w:val="single"/>
        </w:rPr>
        <w:t>: Historical Perspective o</w:t>
      </w:r>
      <w:r w:rsidR="00154415" w:rsidRPr="00424846">
        <w:rPr>
          <w:rFonts w:ascii="Arial" w:hAnsi="Arial" w:cs="Arial"/>
          <w:b/>
          <w:bCs/>
          <w:sz w:val="28"/>
          <w:szCs w:val="28"/>
          <w:u w:val="single"/>
        </w:rPr>
        <w:t>n</w:t>
      </w:r>
      <w:r w:rsidR="00A10F7D" w:rsidRPr="00424846">
        <w:rPr>
          <w:rFonts w:ascii="Arial" w:hAnsi="Arial" w:cs="Arial"/>
          <w:b/>
          <w:bCs/>
          <w:sz w:val="28"/>
          <w:szCs w:val="28"/>
          <w:u w:val="single"/>
        </w:rPr>
        <w:t xml:space="preserve"> Torture.</w:t>
      </w:r>
    </w:p>
    <w:p w14:paraId="47992D3E" w14:textId="11AD5EEE" w:rsidR="00E33AD4" w:rsidRPr="00424846" w:rsidRDefault="00AA0852" w:rsidP="00862139">
      <w:pPr>
        <w:spacing w:line="480" w:lineRule="auto"/>
        <w:jc w:val="both"/>
        <w:rPr>
          <w:rFonts w:ascii="Arial" w:hAnsi="Arial" w:cs="Arial"/>
          <w:sz w:val="24"/>
          <w:szCs w:val="24"/>
        </w:rPr>
      </w:pPr>
      <w:r w:rsidRPr="00424846">
        <w:rPr>
          <w:rFonts w:ascii="Arial" w:hAnsi="Arial" w:cs="Arial"/>
          <w:sz w:val="24"/>
          <w:szCs w:val="24"/>
        </w:rPr>
        <w:t xml:space="preserve">An inspection of </w:t>
      </w:r>
      <w:r w:rsidR="00D45F7A" w:rsidRPr="00424846">
        <w:rPr>
          <w:rFonts w:ascii="Arial" w:hAnsi="Arial" w:cs="Arial"/>
          <w:sz w:val="24"/>
          <w:szCs w:val="24"/>
        </w:rPr>
        <w:t>12</w:t>
      </w:r>
      <w:r w:rsidR="00D45F7A" w:rsidRPr="00424846">
        <w:rPr>
          <w:rFonts w:ascii="Arial" w:hAnsi="Arial" w:cs="Arial"/>
          <w:sz w:val="24"/>
          <w:szCs w:val="24"/>
          <w:vertAlign w:val="superscript"/>
        </w:rPr>
        <w:t>th</w:t>
      </w:r>
      <w:r w:rsidR="00D45F7A" w:rsidRPr="00424846">
        <w:rPr>
          <w:rFonts w:ascii="Arial" w:hAnsi="Arial" w:cs="Arial"/>
          <w:sz w:val="24"/>
          <w:szCs w:val="24"/>
        </w:rPr>
        <w:t xml:space="preserve"> and 13</w:t>
      </w:r>
      <w:r w:rsidR="00D45F7A" w:rsidRPr="00424846">
        <w:rPr>
          <w:rFonts w:ascii="Arial" w:hAnsi="Arial" w:cs="Arial"/>
          <w:sz w:val="24"/>
          <w:szCs w:val="24"/>
          <w:vertAlign w:val="superscript"/>
        </w:rPr>
        <w:t>th</w:t>
      </w:r>
      <w:r w:rsidR="00D45F7A" w:rsidRPr="00424846">
        <w:rPr>
          <w:rFonts w:ascii="Arial" w:hAnsi="Arial" w:cs="Arial"/>
          <w:sz w:val="24"/>
          <w:szCs w:val="24"/>
        </w:rPr>
        <w:t xml:space="preserve"> century medieval </w:t>
      </w:r>
      <w:r w:rsidRPr="00424846">
        <w:rPr>
          <w:rFonts w:ascii="Arial" w:hAnsi="Arial" w:cs="Arial"/>
          <w:sz w:val="24"/>
          <w:szCs w:val="24"/>
        </w:rPr>
        <w:t>European law</w:t>
      </w:r>
      <w:r w:rsidR="00D45F7A" w:rsidRPr="00424846">
        <w:rPr>
          <w:rFonts w:ascii="Arial" w:hAnsi="Arial" w:cs="Arial"/>
          <w:sz w:val="24"/>
          <w:szCs w:val="24"/>
        </w:rPr>
        <w:t>, indicates that</w:t>
      </w:r>
      <w:r w:rsidR="00DC1815" w:rsidRPr="00424846">
        <w:rPr>
          <w:rFonts w:ascii="Arial" w:hAnsi="Arial" w:cs="Arial"/>
          <w:sz w:val="24"/>
          <w:szCs w:val="24"/>
        </w:rPr>
        <w:t xml:space="preserve"> </w:t>
      </w:r>
      <w:r w:rsidR="00D45F7A" w:rsidRPr="00424846">
        <w:rPr>
          <w:rFonts w:ascii="Arial" w:hAnsi="Arial" w:cs="Arial"/>
          <w:sz w:val="24"/>
          <w:szCs w:val="24"/>
        </w:rPr>
        <w:t>t</w:t>
      </w:r>
      <w:r w:rsidR="002120C1" w:rsidRPr="00424846">
        <w:rPr>
          <w:rFonts w:ascii="Arial" w:hAnsi="Arial" w:cs="Arial"/>
          <w:sz w:val="24"/>
          <w:szCs w:val="24"/>
        </w:rPr>
        <w:t>he use of state sanctioned</w:t>
      </w:r>
      <w:r w:rsidR="00B21479" w:rsidRPr="00424846">
        <w:rPr>
          <w:rFonts w:ascii="Arial" w:hAnsi="Arial" w:cs="Arial"/>
          <w:sz w:val="24"/>
          <w:szCs w:val="24"/>
        </w:rPr>
        <w:t xml:space="preserve"> </w:t>
      </w:r>
      <w:r w:rsidR="002120C1" w:rsidRPr="00424846">
        <w:rPr>
          <w:rFonts w:ascii="Arial" w:hAnsi="Arial" w:cs="Arial"/>
          <w:sz w:val="24"/>
          <w:szCs w:val="24"/>
        </w:rPr>
        <w:t xml:space="preserve">torture to </w:t>
      </w:r>
      <w:r w:rsidR="002A11B0" w:rsidRPr="00424846">
        <w:rPr>
          <w:rFonts w:ascii="Arial" w:hAnsi="Arial" w:cs="Arial"/>
          <w:sz w:val="24"/>
          <w:szCs w:val="24"/>
        </w:rPr>
        <w:t>retrieve</w:t>
      </w:r>
      <w:r w:rsidR="002120C1" w:rsidRPr="00424846">
        <w:rPr>
          <w:rFonts w:ascii="Arial" w:hAnsi="Arial" w:cs="Arial"/>
          <w:sz w:val="24"/>
          <w:szCs w:val="24"/>
        </w:rPr>
        <w:t xml:space="preserve"> information from the accused sta</w:t>
      </w:r>
      <w:r w:rsidR="002A11B0" w:rsidRPr="00424846">
        <w:rPr>
          <w:rFonts w:ascii="Arial" w:hAnsi="Arial" w:cs="Arial"/>
          <w:sz w:val="24"/>
          <w:szCs w:val="24"/>
        </w:rPr>
        <w:t>r</w:t>
      </w:r>
      <w:r w:rsidR="002120C1" w:rsidRPr="00424846">
        <w:rPr>
          <w:rFonts w:ascii="Arial" w:hAnsi="Arial" w:cs="Arial"/>
          <w:sz w:val="24"/>
          <w:szCs w:val="24"/>
        </w:rPr>
        <w:t xml:space="preserve">ted </w:t>
      </w:r>
      <w:r w:rsidR="002A11B0" w:rsidRPr="00424846">
        <w:rPr>
          <w:rFonts w:ascii="Arial" w:hAnsi="Arial" w:cs="Arial"/>
          <w:sz w:val="24"/>
          <w:szCs w:val="24"/>
        </w:rPr>
        <w:t xml:space="preserve">with the Roman-Canon Inquisitorial tradition </w:t>
      </w:r>
      <w:r w:rsidR="002120C1" w:rsidRPr="00424846">
        <w:rPr>
          <w:rFonts w:ascii="Arial" w:hAnsi="Arial" w:cs="Arial"/>
          <w:sz w:val="24"/>
          <w:szCs w:val="24"/>
        </w:rPr>
        <w:t>in</w:t>
      </w:r>
      <w:r w:rsidR="00D45F7A" w:rsidRPr="00424846">
        <w:rPr>
          <w:rFonts w:ascii="Arial" w:hAnsi="Arial" w:cs="Arial"/>
          <w:sz w:val="24"/>
          <w:szCs w:val="24"/>
        </w:rPr>
        <w:t xml:space="preserve"> </w:t>
      </w:r>
      <w:r w:rsidR="002120C1" w:rsidRPr="00424846">
        <w:rPr>
          <w:rFonts w:ascii="Arial" w:hAnsi="Arial" w:cs="Arial"/>
          <w:sz w:val="24"/>
          <w:szCs w:val="24"/>
        </w:rPr>
        <w:t xml:space="preserve">Italy </w:t>
      </w:r>
      <w:r w:rsidR="002A11B0" w:rsidRPr="00424846">
        <w:rPr>
          <w:rFonts w:ascii="Arial" w:hAnsi="Arial" w:cs="Arial"/>
          <w:sz w:val="24"/>
          <w:szCs w:val="24"/>
        </w:rPr>
        <w:t>and</w:t>
      </w:r>
      <w:r w:rsidR="002120C1" w:rsidRPr="00424846">
        <w:rPr>
          <w:rFonts w:ascii="Arial" w:hAnsi="Arial" w:cs="Arial"/>
          <w:sz w:val="24"/>
          <w:szCs w:val="24"/>
        </w:rPr>
        <w:t xml:space="preserve"> </w:t>
      </w:r>
      <w:r w:rsidR="002A11B0" w:rsidRPr="00424846">
        <w:rPr>
          <w:rFonts w:ascii="Arial" w:hAnsi="Arial" w:cs="Arial"/>
          <w:sz w:val="24"/>
          <w:szCs w:val="24"/>
        </w:rPr>
        <w:t xml:space="preserve">quickly </w:t>
      </w:r>
      <w:r w:rsidR="002120C1" w:rsidRPr="00424846">
        <w:rPr>
          <w:rFonts w:ascii="Arial" w:hAnsi="Arial" w:cs="Arial"/>
          <w:sz w:val="24"/>
          <w:szCs w:val="24"/>
        </w:rPr>
        <w:t>spread through Europe</w:t>
      </w:r>
      <w:r w:rsidR="002A11B0" w:rsidRPr="00424846">
        <w:rPr>
          <w:rFonts w:ascii="Arial" w:hAnsi="Arial" w:cs="Arial"/>
          <w:sz w:val="24"/>
          <w:szCs w:val="24"/>
        </w:rPr>
        <w:t xml:space="preserve"> as they embraced, albeit</w:t>
      </w:r>
      <w:r w:rsidR="00894E67" w:rsidRPr="00424846">
        <w:rPr>
          <w:rFonts w:ascii="Arial" w:hAnsi="Arial" w:cs="Arial"/>
          <w:sz w:val="24"/>
          <w:szCs w:val="24"/>
        </w:rPr>
        <w:t xml:space="preserve">, </w:t>
      </w:r>
      <w:r w:rsidR="002A11B0" w:rsidRPr="00424846">
        <w:rPr>
          <w:rFonts w:ascii="Arial" w:hAnsi="Arial" w:cs="Arial"/>
          <w:sz w:val="24"/>
          <w:szCs w:val="24"/>
        </w:rPr>
        <w:t>to varied degrees,  the use of torture to obtain information</w:t>
      </w:r>
      <w:r w:rsidR="00986C32" w:rsidRPr="00424846">
        <w:rPr>
          <w:rFonts w:ascii="Arial" w:hAnsi="Arial" w:cs="Arial"/>
          <w:sz w:val="24"/>
          <w:szCs w:val="24"/>
        </w:rPr>
        <w:t xml:space="preserve">, </w:t>
      </w:r>
      <w:r w:rsidR="002A11B0" w:rsidRPr="00424846">
        <w:rPr>
          <w:rFonts w:ascii="Arial" w:hAnsi="Arial" w:cs="Arial"/>
          <w:sz w:val="24"/>
          <w:szCs w:val="24"/>
        </w:rPr>
        <w:t>into their legal system</w:t>
      </w:r>
      <w:r w:rsidR="007A02F0" w:rsidRPr="00424846">
        <w:rPr>
          <w:rStyle w:val="FootnoteReference"/>
          <w:rFonts w:ascii="Arial" w:hAnsi="Arial" w:cs="Arial"/>
          <w:sz w:val="24"/>
          <w:szCs w:val="24"/>
        </w:rPr>
        <w:footnoteReference w:id="3"/>
      </w:r>
      <w:r w:rsidR="002A11B0" w:rsidRPr="00424846">
        <w:rPr>
          <w:rFonts w:ascii="Arial" w:hAnsi="Arial" w:cs="Arial"/>
          <w:sz w:val="24"/>
          <w:szCs w:val="24"/>
        </w:rPr>
        <w:t xml:space="preserve">. </w:t>
      </w:r>
    </w:p>
    <w:p w14:paraId="52BCA313" w14:textId="4BE25538" w:rsidR="002114F9" w:rsidRPr="00424846" w:rsidRDefault="007A02F0" w:rsidP="00862139">
      <w:pPr>
        <w:spacing w:line="480" w:lineRule="auto"/>
        <w:jc w:val="center"/>
        <w:rPr>
          <w:rFonts w:ascii="Arial" w:hAnsi="Arial" w:cs="Arial"/>
          <w:b/>
          <w:bCs/>
          <w:sz w:val="24"/>
          <w:szCs w:val="24"/>
          <w:u w:val="single"/>
        </w:rPr>
      </w:pPr>
      <w:r w:rsidRPr="00424846">
        <w:rPr>
          <w:rFonts w:ascii="Arial" w:hAnsi="Arial" w:cs="Arial"/>
          <w:b/>
          <w:bCs/>
          <w:sz w:val="24"/>
          <w:szCs w:val="24"/>
          <w:u w:val="single"/>
        </w:rPr>
        <w:t>Origins</w:t>
      </w:r>
      <w:r w:rsidR="006564CA" w:rsidRPr="00424846">
        <w:rPr>
          <w:rFonts w:ascii="Arial" w:hAnsi="Arial" w:cs="Arial"/>
          <w:b/>
          <w:bCs/>
          <w:sz w:val="24"/>
          <w:szCs w:val="24"/>
          <w:u w:val="single"/>
        </w:rPr>
        <w:t xml:space="preserve"> and Evolution of</w:t>
      </w:r>
      <w:r w:rsidR="00922FA5" w:rsidRPr="00424846">
        <w:rPr>
          <w:rFonts w:ascii="Arial" w:hAnsi="Arial" w:cs="Arial"/>
          <w:b/>
          <w:bCs/>
          <w:sz w:val="24"/>
          <w:szCs w:val="24"/>
          <w:u w:val="single"/>
        </w:rPr>
        <w:t xml:space="preserve"> Torture in</w:t>
      </w:r>
      <w:r w:rsidR="006564CA" w:rsidRPr="00424846">
        <w:rPr>
          <w:rFonts w:ascii="Arial" w:hAnsi="Arial" w:cs="Arial"/>
          <w:b/>
          <w:bCs/>
          <w:sz w:val="24"/>
          <w:szCs w:val="24"/>
          <w:u w:val="single"/>
        </w:rPr>
        <w:t xml:space="preserve"> Law</w:t>
      </w:r>
      <w:r w:rsidR="0003314C" w:rsidRPr="00424846">
        <w:rPr>
          <w:rFonts w:ascii="Arial" w:hAnsi="Arial" w:cs="Arial"/>
          <w:b/>
          <w:bCs/>
          <w:sz w:val="24"/>
          <w:szCs w:val="24"/>
          <w:u w:val="single"/>
        </w:rPr>
        <w:t>:</w:t>
      </w:r>
    </w:p>
    <w:p w14:paraId="21FC658A" w14:textId="638FC295" w:rsidR="0003314C" w:rsidRPr="00424846" w:rsidRDefault="00BA1EC4" w:rsidP="00862139">
      <w:pPr>
        <w:spacing w:line="480" w:lineRule="auto"/>
        <w:jc w:val="both"/>
        <w:rPr>
          <w:rFonts w:ascii="Arial" w:hAnsi="Arial" w:cs="Arial"/>
          <w:sz w:val="24"/>
          <w:szCs w:val="24"/>
        </w:rPr>
      </w:pPr>
      <w:r w:rsidRPr="00424846">
        <w:rPr>
          <w:rFonts w:ascii="Arial" w:hAnsi="Arial" w:cs="Arial"/>
          <w:sz w:val="24"/>
          <w:szCs w:val="24"/>
        </w:rPr>
        <w:t xml:space="preserve">The first recorded </w:t>
      </w:r>
      <w:r w:rsidR="007A02F0" w:rsidRPr="00424846">
        <w:rPr>
          <w:rFonts w:ascii="Arial" w:hAnsi="Arial" w:cs="Arial"/>
          <w:sz w:val="24"/>
          <w:szCs w:val="24"/>
        </w:rPr>
        <w:t xml:space="preserve">incident </w:t>
      </w:r>
      <w:r w:rsidRPr="00424846">
        <w:rPr>
          <w:rFonts w:ascii="Arial" w:hAnsi="Arial" w:cs="Arial"/>
          <w:sz w:val="24"/>
          <w:szCs w:val="24"/>
        </w:rPr>
        <w:t xml:space="preserve">of </w:t>
      </w:r>
      <w:r w:rsidR="007A02F0" w:rsidRPr="00424846">
        <w:rPr>
          <w:rFonts w:ascii="Arial" w:hAnsi="Arial" w:cs="Arial"/>
          <w:sz w:val="24"/>
          <w:szCs w:val="24"/>
        </w:rPr>
        <w:t>JT</w:t>
      </w:r>
      <w:r w:rsidRPr="00424846">
        <w:rPr>
          <w:rFonts w:ascii="Arial" w:hAnsi="Arial" w:cs="Arial"/>
          <w:sz w:val="24"/>
          <w:szCs w:val="24"/>
        </w:rPr>
        <w:t xml:space="preserve"> </w:t>
      </w:r>
      <w:r w:rsidR="007A02F0" w:rsidRPr="00424846">
        <w:rPr>
          <w:rFonts w:ascii="Arial" w:hAnsi="Arial" w:cs="Arial"/>
          <w:sz w:val="24"/>
          <w:szCs w:val="24"/>
        </w:rPr>
        <w:t xml:space="preserve">in Europe </w:t>
      </w:r>
      <w:r w:rsidRPr="00424846">
        <w:rPr>
          <w:rFonts w:ascii="Arial" w:hAnsi="Arial" w:cs="Arial"/>
          <w:sz w:val="24"/>
          <w:szCs w:val="24"/>
        </w:rPr>
        <w:t>was in 1252</w:t>
      </w:r>
      <w:r w:rsidR="007A02F0" w:rsidRPr="00424846">
        <w:rPr>
          <w:rStyle w:val="FootnoteReference"/>
          <w:rFonts w:ascii="Arial" w:hAnsi="Arial" w:cs="Arial"/>
          <w:sz w:val="24"/>
          <w:szCs w:val="24"/>
        </w:rPr>
        <w:footnoteReference w:id="4"/>
      </w:r>
      <w:r w:rsidR="00EA2559" w:rsidRPr="00424846">
        <w:rPr>
          <w:rFonts w:ascii="Arial" w:hAnsi="Arial" w:cs="Arial"/>
          <w:sz w:val="24"/>
          <w:szCs w:val="24"/>
        </w:rPr>
        <w:t xml:space="preserve">, </w:t>
      </w:r>
      <w:r w:rsidR="007A02F0" w:rsidRPr="00424846">
        <w:rPr>
          <w:rFonts w:ascii="Arial" w:hAnsi="Arial" w:cs="Arial"/>
          <w:sz w:val="24"/>
          <w:szCs w:val="24"/>
        </w:rPr>
        <w:t xml:space="preserve">where </w:t>
      </w:r>
      <w:r w:rsidRPr="00424846">
        <w:rPr>
          <w:rFonts w:ascii="Arial" w:hAnsi="Arial" w:cs="Arial"/>
          <w:sz w:val="24"/>
          <w:szCs w:val="24"/>
        </w:rPr>
        <w:t xml:space="preserve">Pope Innocent IV </w:t>
      </w:r>
      <w:r w:rsidR="007A02F0" w:rsidRPr="00424846">
        <w:rPr>
          <w:rFonts w:ascii="Arial" w:hAnsi="Arial" w:cs="Arial"/>
          <w:sz w:val="24"/>
          <w:szCs w:val="24"/>
        </w:rPr>
        <w:t>authorized</w:t>
      </w:r>
      <w:r w:rsidRPr="00424846">
        <w:rPr>
          <w:rFonts w:ascii="Arial" w:hAnsi="Arial" w:cs="Arial"/>
          <w:sz w:val="24"/>
          <w:szCs w:val="24"/>
        </w:rPr>
        <w:t xml:space="preserve"> the </w:t>
      </w:r>
      <w:r w:rsidR="007A02F0" w:rsidRPr="00424846">
        <w:rPr>
          <w:rFonts w:ascii="Arial" w:hAnsi="Arial" w:cs="Arial"/>
          <w:sz w:val="24"/>
          <w:szCs w:val="24"/>
        </w:rPr>
        <w:t>torture</w:t>
      </w:r>
      <w:r w:rsidRPr="00424846">
        <w:rPr>
          <w:rFonts w:ascii="Arial" w:hAnsi="Arial" w:cs="Arial"/>
          <w:sz w:val="24"/>
          <w:szCs w:val="24"/>
        </w:rPr>
        <w:t xml:space="preserve"> of the papal inquisitor of Lombardy</w:t>
      </w:r>
      <w:r w:rsidR="007A02F0" w:rsidRPr="00424846">
        <w:rPr>
          <w:rFonts w:ascii="Arial" w:hAnsi="Arial" w:cs="Arial"/>
          <w:sz w:val="24"/>
          <w:szCs w:val="24"/>
        </w:rPr>
        <w:t xml:space="preserve"> for a </w:t>
      </w:r>
      <w:r w:rsidR="006A46B1" w:rsidRPr="00424846">
        <w:rPr>
          <w:rFonts w:ascii="Arial" w:hAnsi="Arial" w:cs="Arial"/>
          <w:sz w:val="24"/>
          <w:szCs w:val="24"/>
        </w:rPr>
        <w:t>murder,</w:t>
      </w:r>
      <w:r w:rsidR="007A02F0" w:rsidRPr="00424846">
        <w:rPr>
          <w:rFonts w:ascii="Arial" w:hAnsi="Arial" w:cs="Arial"/>
          <w:sz w:val="24"/>
          <w:szCs w:val="24"/>
        </w:rPr>
        <w:t xml:space="preserve"> he was suspected of committing</w:t>
      </w:r>
      <w:r w:rsidR="006A46B1" w:rsidRPr="00424846">
        <w:rPr>
          <w:rFonts w:ascii="Arial" w:hAnsi="Arial" w:cs="Arial"/>
          <w:sz w:val="24"/>
          <w:szCs w:val="24"/>
        </w:rPr>
        <w:t>. T</w:t>
      </w:r>
      <w:r w:rsidR="0028772E" w:rsidRPr="00424846">
        <w:rPr>
          <w:rFonts w:ascii="Arial" w:hAnsi="Arial" w:cs="Arial"/>
          <w:sz w:val="24"/>
          <w:szCs w:val="24"/>
        </w:rPr>
        <w:t xml:space="preserve">he </w:t>
      </w:r>
      <w:r w:rsidR="00EA2559" w:rsidRPr="00424846">
        <w:rPr>
          <w:rFonts w:ascii="Arial" w:hAnsi="Arial" w:cs="Arial"/>
          <w:sz w:val="24"/>
          <w:szCs w:val="24"/>
        </w:rPr>
        <w:t xml:space="preserve">Pope’s statement of </w:t>
      </w:r>
      <w:r w:rsidR="006A46B1" w:rsidRPr="00424846">
        <w:rPr>
          <w:rFonts w:ascii="Arial" w:hAnsi="Arial" w:cs="Arial"/>
          <w:sz w:val="24"/>
          <w:szCs w:val="24"/>
        </w:rPr>
        <w:t>‘</w:t>
      </w:r>
      <w:r w:rsidR="00EA2559" w:rsidRPr="00424846">
        <w:rPr>
          <w:rFonts w:ascii="Arial" w:hAnsi="Arial" w:cs="Arial"/>
          <w:sz w:val="24"/>
          <w:szCs w:val="24"/>
        </w:rPr>
        <w:t>suspects</w:t>
      </w:r>
      <w:r w:rsidR="006A46B1" w:rsidRPr="00424846">
        <w:rPr>
          <w:rFonts w:ascii="Arial" w:hAnsi="Arial" w:cs="Arial"/>
          <w:sz w:val="24"/>
          <w:szCs w:val="24"/>
        </w:rPr>
        <w:t xml:space="preserve"> need</w:t>
      </w:r>
      <w:r w:rsidR="00EA2559" w:rsidRPr="00424846">
        <w:rPr>
          <w:rFonts w:ascii="Arial" w:hAnsi="Arial" w:cs="Arial"/>
          <w:sz w:val="24"/>
          <w:szCs w:val="24"/>
        </w:rPr>
        <w:t>ing</w:t>
      </w:r>
      <w:r w:rsidR="006A46B1" w:rsidRPr="00424846">
        <w:rPr>
          <w:rFonts w:ascii="Arial" w:hAnsi="Arial" w:cs="Arial"/>
          <w:sz w:val="24"/>
          <w:szCs w:val="24"/>
        </w:rPr>
        <w:t xml:space="preserve"> to be coerced….into confessing their errors and accusing others’</w:t>
      </w:r>
      <w:r w:rsidR="006A46B1" w:rsidRPr="00424846">
        <w:rPr>
          <w:rStyle w:val="FootnoteReference"/>
          <w:rFonts w:ascii="Arial" w:hAnsi="Arial" w:cs="Arial"/>
          <w:sz w:val="24"/>
          <w:szCs w:val="24"/>
        </w:rPr>
        <w:footnoteReference w:id="5"/>
      </w:r>
      <w:r w:rsidR="006A46B1" w:rsidRPr="00424846">
        <w:rPr>
          <w:rFonts w:ascii="Arial" w:hAnsi="Arial" w:cs="Arial"/>
          <w:sz w:val="24"/>
          <w:szCs w:val="24"/>
        </w:rPr>
        <w:t>,</w:t>
      </w:r>
      <w:r w:rsidR="00EA2559" w:rsidRPr="00424846">
        <w:rPr>
          <w:rFonts w:ascii="Arial" w:hAnsi="Arial" w:cs="Arial"/>
          <w:sz w:val="24"/>
          <w:szCs w:val="24"/>
        </w:rPr>
        <w:t xml:space="preserve"> </w:t>
      </w:r>
      <w:r w:rsidR="009D3D99" w:rsidRPr="00424846">
        <w:rPr>
          <w:rFonts w:ascii="Arial" w:hAnsi="Arial" w:cs="Arial"/>
          <w:sz w:val="24"/>
          <w:szCs w:val="24"/>
        </w:rPr>
        <w:t>a</w:t>
      </w:r>
      <w:r w:rsidR="006A46B1" w:rsidRPr="00424846">
        <w:rPr>
          <w:rFonts w:ascii="Arial" w:hAnsi="Arial" w:cs="Arial"/>
          <w:sz w:val="24"/>
          <w:szCs w:val="24"/>
        </w:rPr>
        <w:t>ccurately captur</w:t>
      </w:r>
      <w:r w:rsidR="00EA2559" w:rsidRPr="00424846">
        <w:rPr>
          <w:rFonts w:ascii="Arial" w:hAnsi="Arial" w:cs="Arial"/>
          <w:sz w:val="24"/>
          <w:szCs w:val="24"/>
        </w:rPr>
        <w:t>es</w:t>
      </w:r>
      <w:r w:rsidR="006A46B1" w:rsidRPr="00424846">
        <w:rPr>
          <w:rFonts w:ascii="Arial" w:hAnsi="Arial" w:cs="Arial"/>
          <w:sz w:val="24"/>
          <w:szCs w:val="24"/>
        </w:rPr>
        <w:t xml:space="preserve"> the perspective </w:t>
      </w:r>
      <w:r w:rsidR="00880743" w:rsidRPr="00424846">
        <w:rPr>
          <w:rFonts w:ascii="Arial" w:hAnsi="Arial" w:cs="Arial"/>
          <w:sz w:val="24"/>
          <w:szCs w:val="24"/>
        </w:rPr>
        <w:t xml:space="preserve">medieval </w:t>
      </w:r>
      <w:r w:rsidR="006A46B1" w:rsidRPr="00424846">
        <w:rPr>
          <w:rFonts w:ascii="Arial" w:hAnsi="Arial" w:cs="Arial"/>
          <w:sz w:val="24"/>
          <w:szCs w:val="24"/>
        </w:rPr>
        <w:t>society, institutions and the law ha</w:t>
      </w:r>
      <w:r w:rsidR="00880743" w:rsidRPr="00424846">
        <w:rPr>
          <w:rFonts w:ascii="Arial" w:hAnsi="Arial" w:cs="Arial"/>
          <w:sz w:val="24"/>
          <w:szCs w:val="24"/>
        </w:rPr>
        <w:t>d</w:t>
      </w:r>
      <w:r w:rsidR="006A46B1" w:rsidRPr="00424846">
        <w:rPr>
          <w:rFonts w:ascii="Arial" w:hAnsi="Arial" w:cs="Arial"/>
          <w:sz w:val="24"/>
          <w:szCs w:val="24"/>
        </w:rPr>
        <w:t xml:space="preserve"> of torture, </w:t>
      </w:r>
      <w:r w:rsidR="00EA2559" w:rsidRPr="00424846">
        <w:rPr>
          <w:rFonts w:ascii="Arial" w:hAnsi="Arial" w:cs="Arial"/>
          <w:sz w:val="24"/>
          <w:szCs w:val="24"/>
        </w:rPr>
        <w:t>(</w:t>
      </w:r>
      <w:r w:rsidR="006A46B1" w:rsidRPr="00424846">
        <w:rPr>
          <w:rFonts w:ascii="Arial" w:hAnsi="Arial" w:cs="Arial"/>
          <w:sz w:val="24"/>
          <w:szCs w:val="24"/>
        </w:rPr>
        <w:t>vastly contradictory to our current view o</w:t>
      </w:r>
      <w:r w:rsidR="009D3D99" w:rsidRPr="00424846">
        <w:rPr>
          <w:rFonts w:ascii="Arial" w:hAnsi="Arial" w:cs="Arial"/>
          <w:sz w:val="24"/>
          <w:szCs w:val="24"/>
        </w:rPr>
        <w:t>f</w:t>
      </w:r>
      <w:r w:rsidR="006A46B1" w:rsidRPr="00424846">
        <w:rPr>
          <w:rFonts w:ascii="Arial" w:hAnsi="Arial" w:cs="Arial"/>
          <w:sz w:val="24"/>
          <w:szCs w:val="24"/>
        </w:rPr>
        <w:t xml:space="preserve"> its abhorrence</w:t>
      </w:r>
      <w:r w:rsidR="00EA2559" w:rsidRPr="00424846">
        <w:rPr>
          <w:rFonts w:ascii="Arial" w:hAnsi="Arial" w:cs="Arial"/>
          <w:sz w:val="24"/>
          <w:szCs w:val="24"/>
        </w:rPr>
        <w:t>)</w:t>
      </w:r>
      <w:r w:rsidR="006A46B1" w:rsidRPr="00424846">
        <w:rPr>
          <w:rFonts w:ascii="Arial" w:hAnsi="Arial" w:cs="Arial"/>
          <w:sz w:val="24"/>
          <w:szCs w:val="24"/>
        </w:rPr>
        <w:t>,</w:t>
      </w:r>
      <w:r w:rsidR="00EA2559" w:rsidRPr="00424846">
        <w:rPr>
          <w:rFonts w:ascii="Arial" w:hAnsi="Arial" w:cs="Arial"/>
          <w:sz w:val="24"/>
          <w:szCs w:val="24"/>
        </w:rPr>
        <w:t xml:space="preserve"> </w:t>
      </w:r>
      <w:r w:rsidR="009D3D99" w:rsidRPr="00424846">
        <w:rPr>
          <w:rFonts w:ascii="Arial" w:hAnsi="Arial" w:cs="Arial"/>
          <w:sz w:val="24"/>
          <w:szCs w:val="24"/>
        </w:rPr>
        <w:t xml:space="preserve">it was seen </w:t>
      </w:r>
      <w:r w:rsidR="00EA2559" w:rsidRPr="00424846">
        <w:rPr>
          <w:rFonts w:ascii="Arial" w:hAnsi="Arial" w:cs="Arial"/>
          <w:sz w:val="24"/>
          <w:szCs w:val="24"/>
        </w:rPr>
        <w:t>as</w:t>
      </w:r>
      <w:r w:rsidR="009D3D99" w:rsidRPr="00424846">
        <w:rPr>
          <w:rFonts w:ascii="Arial" w:hAnsi="Arial" w:cs="Arial"/>
          <w:sz w:val="24"/>
          <w:szCs w:val="24"/>
        </w:rPr>
        <w:t xml:space="preserve"> a necessity to obtaining evidence in order to achieve a fair trial. </w:t>
      </w:r>
      <w:r w:rsidR="0028772E" w:rsidRPr="00424846">
        <w:rPr>
          <w:rFonts w:ascii="Arial" w:hAnsi="Arial" w:cs="Arial"/>
          <w:sz w:val="24"/>
          <w:szCs w:val="24"/>
        </w:rPr>
        <w:t xml:space="preserve"> </w:t>
      </w:r>
    </w:p>
    <w:p w14:paraId="43F6CBBD" w14:textId="32FC1DE9" w:rsidR="00EA7F3F" w:rsidRPr="00424846" w:rsidRDefault="00C26750" w:rsidP="00862139">
      <w:pPr>
        <w:spacing w:line="480" w:lineRule="auto"/>
        <w:jc w:val="both"/>
        <w:rPr>
          <w:rFonts w:ascii="Arial" w:hAnsi="Arial" w:cs="Arial"/>
          <w:sz w:val="24"/>
          <w:szCs w:val="24"/>
        </w:rPr>
      </w:pPr>
      <w:r w:rsidRPr="00424846">
        <w:rPr>
          <w:rFonts w:ascii="Arial" w:hAnsi="Arial" w:cs="Arial"/>
          <w:sz w:val="24"/>
          <w:szCs w:val="24"/>
        </w:rPr>
        <w:t xml:space="preserve">According to Langbien’s book, </w:t>
      </w:r>
      <w:r w:rsidRPr="00424846">
        <w:rPr>
          <w:rFonts w:ascii="Arial" w:hAnsi="Arial" w:cs="Arial"/>
          <w:i/>
          <w:iCs/>
          <w:sz w:val="24"/>
          <w:szCs w:val="24"/>
        </w:rPr>
        <w:t>Torture and the Law of Proof</w:t>
      </w:r>
      <w:r w:rsidR="00B21479" w:rsidRPr="00424846">
        <w:rPr>
          <w:rStyle w:val="FootnoteReference"/>
          <w:rFonts w:ascii="Arial" w:hAnsi="Arial" w:cs="Arial"/>
          <w:i/>
          <w:iCs/>
          <w:sz w:val="24"/>
          <w:szCs w:val="24"/>
        </w:rPr>
        <w:footnoteReference w:id="6"/>
      </w:r>
      <w:r w:rsidRPr="00424846">
        <w:rPr>
          <w:rFonts w:ascii="Arial" w:hAnsi="Arial" w:cs="Arial"/>
          <w:sz w:val="24"/>
          <w:szCs w:val="24"/>
        </w:rPr>
        <w:t>, during the p</w:t>
      </w:r>
      <w:r w:rsidR="006564CA" w:rsidRPr="00424846">
        <w:rPr>
          <w:rFonts w:ascii="Arial" w:hAnsi="Arial" w:cs="Arial"/>
          <w:sz w:val="24"/>
          <w:szCs w:val="24"/>
        </w:rPr>
        <w:t>re-</w:t>
      </w:r>
      <w:r w:rsidR="00D649AD" w:rsidRPr="00424846">
        <w:rPr>
          <w:rFonts w:ascii="Arial" w:hAnsi="Arial" w:cs="Arial"/>
          <w:sz w:val="24"/>
          <w:szCs w:val="24"/>
        </w:rPr>
        <w:t xml:space="preserve">inquisitorial </w:t>
      </w:r>
      <w:r w:rsidRPr="00424846">
        <w:rPr>
          <w:rFonts w:ascii="Arial" w:hAnsi="Arial" w:cs="Arial"/>
          <w:sz w:val="24"/>
          <w:szCs w:val="24"/>
        </w:rPr>
        <w:t>period</w:t>
      </w:r>
      <w:r w:rsidR="00D649AD" w:rsidRPr="00424846">
        <w:rPr>
          <w:rFonts w:ascii="Arial" w:hAnsi="Arial" w:cs="Arial"/>
          <w:sz w:val="24"/>
          <w:szCs w:val="24"/>
        </w:rPr>
        <w:t>, the law was highly influenced by the status and honour of defendants, if they had a higher social</w:t>
      </w:r>
      <w:r w:rsidR="00BA04C2" w:rsidRPr="00424846">
        <w:rPr>
          <w:rFonts w:ascii="Arial" w:hAnsi="Arial" w:cs="Arial"/>
          <w:sz w:val="24"/>
          <w:szCs w:val="24"/>
        </w:rPr>
        <w:t xml:space="preserve">, </w:t>
      </w:r>
      <w:r w:rsidR="00D649AD" w:rsidRPr="00424846">
        <w:rPr>
          <w:rFonts w:ascii="Arial" w:hAnsi="Arial" w:cs="Arial"/>
          <w:sz w:val="24"/>
          <w:szCs w:val="24"/>
        </w:rPr>
        <w:t xml:space="preserve">financial </w:t>
      </w:r>
      <w:r w:rsidR="00BA04C2" w:rsidRPr="00424846">
        <w:rPr>
          <w:rFonts w:ascii="Arial" w:hAnsi="Arial" w:cs="Arial"/>
          <w:sz w:val="24"/>
          <w:szCs w:val="24"/>
        </w:rPr>
        <w:t>and famil</w:t>
      </w:r>
      <w:r w:rsidR="004B4E10" w:rsidRPr="00424846">
        <w:rPr>
          <w:rFonts w:ascii="Arial" w:hAnsi="Arial" w:cs="Arial"/>
          <w:sz w:val="24"/>
          <w:szCs w:val="24"/>
        </w:rPr>
        <w:t>ial</w:t>
      </w:r>
      <w:r w:rsidR="00BA04C2" w:rsidRPr="00424846">
        <w:rPr>
          <w:rFonts w:ascii="Arial" w:hAnsi="Arial" w:cs="Arial"/>
          <w:sz w:val="24"/>
          <w:szCs w:val="24"/>
        </w:rPr>
        <w:t xml:space="preserve"> </w:t>
      </w:r>
      <w:r w:rsidR="00D649AD" w:rsidRPr="00424846">
        <w:rPr>
          <w:rFonts w:ascii="Arial" w:hAnsi="Arial" w:cs="Arial"/>
          <w:sz w:val="24"/>
          <w:szCs w:val="24"/>
        </w:rPr>
        <w:t>status, they were not subject to torture</w:t>
      </w:r>
      <w:r w:rsidR="00BA04C2" w:rsidRPr="00424846">
        <w:rPr>
          <w:rFonts w:ascii="Arial" w:hAnsi="Arial" w:cs="Arial"/>
          <w:sz w:val="24"/>
          <w:szCs w:val="24"/>
        </w:rPr>
        <w:t xml:space="preserve">, contrary, to </w:t>
      </w:r>
      <w:r w:rsidR="00D649AD" w:rsidRPr="00424846">
        <w:rPr>
          <w:rFonts w:ascii="Arial" w:hAnsi="Arial" w:cs="Arial"/>
          <w:sz w:val="24"/>
          <w:szCs w:val="24"/>
        </w:rPr>
        <w:t xml:space="preserve">those lower down the </w:t>
      </w:r>
      <w:r w:rsidR="006564CA" w:rsidRPr="00424846">
        <w:rPr>
          <w:rFonts w:ascii="Arial" w:hAnsi="Arial" w:cs="Arial"/>
          <w:sz w:val="24"/>
          <w:szCs w:val="24"/>
        </w:rPr>
        <w:t>hierarchy</w:t>
      </w:r>
      <w:r w:rsidR="00BA04C2" w:rsidRPr="00424846">
        <w:rPr>
          <w:rFonts w:ascii="Arial" w:hAnsi="Arial" w:cs="Arial"/>
          <w:sz w:val="24"/>
          <w:szCs w:val="24"/>
        </w:rPr>
        <w:t xml:space="preserve"> who were subject to JT</w:t>
      </w:r>
      <w:r w:rsidR="006564CA" w:rsidRPr="00424846">
        <w:rPr>
          <w:rFonts w:ascii="Arial" w:hAnsi="Arial" w:cs="Arial"/>
          <w:sz w:val="24"/>
          <w:szCs w:val="24"/>
        </w:rPr>
        <w:t>.</w:t>
      </w:r>
      <w:r w:rsidRPr="00424846">
        <w:rPr>
          <w:rFonts w:ascii="Arial" w:hAnsi="Arial" w:cs="Arial"/>
          <w:sz w:val="24"/>
          <w:szCs w:val="24"/>
        </w:rPr>
        <w:t xml:space="preserve"> P</w:t>
      </w:r>
      <w:r w:rsidR="006564CA" w:rsidRPr="00424846">
        <w:rPr>
          <w:rFonts w:ascii="Arial" w:hAnsi="Arial" w:cs="Arial"/>
          <w:sz w:val="24"/>
          <w:szCs w:val="24"/>
        </w:rPr>
        <w:t>ost-inquisitorial tradition</w:t>
      </w:r>
      <w:r w:rsidRPr="00424846">
        <w:rPr>
          <w:rFonts w:ascii="Arial" w:hAnsi="Arial" w:cs="Arial"/>
          <w:sz w:val="24"/>
          <w:szCs w:val="24"/>
        </w:rPr>
        <w:t xml:space="preserve">, however, </w:t>
      </w:r>
      <w:r w:rsidR="006564CA" w:rsidRPr="00424846">
        <w:rPr>
          <w:rFonts w:ascii="Arial" w:hAnsi="Arial" w:cs="Arial"/>
          <w:sz w:val="24"/>
          <w:szCs w:val="24"/>
        </w:rPr>
        <w:t xml:space="preserve">indicated a new age, </w:t>
      </w:r>
      <w:r w:rsidR="00EA7F3F" w:rsidRPr="00424846">
        <w:rPr>
          <w:rFonts w:ascii="Arial" w:hAnsi="Arial" w:cs="Arial"/>
          <w:sz w:val="24"/>
          <w:szCs w:val="24"/>
        </w:rPr>
        <w:t>recognising</w:t>
      </w:r>
      <w:r w:rsidR="00BA04C2" w:rsidRPr="00424846">
        <w:rPr>
          <w:rFonts w:ascii="Arial" w:hAnsi="Arial" w:cs="Arial"/>
          <w:sz w:val="24"/>
          <w:szCs w:val="24"/>
        </w:rPr>
        <w:t xml:space="preserve"> the emergence of an </w:t>
      </w:r>
      <w:r w:rsidR="004B4E10" w:rsidRPr="00424846">
        <w:rPr>
          <w:rFonts w:ascii="Arial" w:hAnsi="Arial" w:cs="Arial"/>
          <w:sz w:val="24"/>
          <w:szCs w:val="24"/>
        </w:rPr>
        <w:t>‘</w:t>
      </w:r>
      <w:r w:rsidR="00BA04C2" w:rsidRPr="00424846">
        <w:rPr>
          <w:rFonts w:ascii="Arial" w:hAnsi="Arial" w:cs="Arial"/>
          <w:sz w:val="24"/>
          <w:szCs w:val="24"/>
        </w:rPr>
        <w:t>objective</w:t>
      </w:r>
      <w:r w:rsidR="004B4E10" w:rsidRPr="00424846">
        <w:rPr>
          <w:rFonts w:ascii="Arial" w:hAnsi="Arial" w:cs="Arial"/>
          <w:sz w:val="24"/>
          <w:szCs w:val="24"/>
        </w:rPr>
        <w:t>’</w:t>
      </w:r>
      <w:r w:rsidR="00BA04C2" w:rsidRPr="00424846">
        <w:rPr>
          <w:rFonts w:ascii="Arial" w:hAnsi="Arial" w:cs="Arial"/>
          <w:sz w:val="24"/>
          <w:szCs w:val="24"/>
        </w:rPr>
        <w:t xml:space="preserve"> </w:t>
      </w:r>
      <w:r w:rsidR="006564CA" w:rsidRPr="00424846">
        <w:rPr>
          <w:rFonts w:ascii="Arial" w:hAnsi="Arial" w:cs="Arial"/>
          <w:sz w:val="24"/>
          <w:szCs w:val="24"/>
        </w:rPr>
        <w:t xml:space="preserve">law of proof as a staple of </w:t>
      </w:r>
      <w:r w:rsidR="003B4881" w:rsidRPr="00424846">
        <w:rPr>
          <w:rFonts w:ascii="Arial" w:hAnsi="Arial" w:cs="Arial"/>
          <w:sz w:val="24"/>
          <w:szCs w:val="24"/>
        </w:rPr>
        <w:t>medieval</w:t>
      </w:r>
      <w:r w:rsidR="006564CA" w:rsidRPr="00424846">
        <w:rPr>
          <w:rFonts w:ascii="Arial" w:hAnsi="Arial" w:cs="Arial"/>
          <w:sz w:val="24"/>
          <w:szCs w:val="24"/>
        </w:rPr>
        <w:t xml:space="preserve"> </w:t>
      </w:r>
      <w:r w:rsidR="003B4881" w:rsidRPr="00424846">
        <w:rPr>
          <w:rFonts w:ascii="Arial" w:hAnsi="Arial" w:cs="Arial"/>
          <w:sz w:val="24"/>
          <w:szCs w:val="24"/>
        </w:rPr>
        <w:t>l</w:t>
      </w:r>
      <w:r w:rsidR="006564CA" w:rsidRPr="00424846">
        <w:rPr>
          <w:rFonts w:ascii="Arial" w:hAnsi="Arial" w:cs="Arial"/>
          <w:sz w:val="24"/>
          <w:szCs w:val="24"/>
        </w:rPr>
        <w:t>aw</w:t>
      </w:r>
      <w:r w:rsidR="003B4881" w:rsidRPr="00424846">
        <w:rPr>
          <w:rFonts w:ascii="Arial" w:hAnsi="Arial" w:cs="Arial"/>
          <w:sz w:val="24"/>
          <w:szCs w:val="24"/>
        </w:rPr>
        <w:t xml:space="preserve"> around Europe</w:t>
      </w:r>
      <w:r w:rsidR="006564CA" w:rsidRPr="00424846">
        <w:rPr>
          <w:rFonts w:ascii="Arial" w:hAnsi="Arial" w:cs="Arial"/>
          <w:sz w:val="24"/>
          <w:szCs w:val="24"/>
        </w:rPr>
        <w:t xml:space="preserve">, </w:t>
      </w:r>
      <w:r w:rsidR="00EA7F3F" w:rsidRPr="00424846">
        <w:rPr>
          <w:rFonts w:ascii="Arial" w:hAnsi="Arial" w:cs="Arial"/>
          <w:sz w:val="24"/>
          <w:szCs w:val="24"/>
        </w:rPr>
        <w:t>where</w:t>
      </w:r>
      <w:r w:rsidR="006564CA" w:rsidRPr="00424846">
        <w:rPr>
          <w:rFonts w:ascii="Arial" w:hAnsi="Arial" w:cs="Arial"/>
          <w:sz w:val="24"/>
          <w:szCs w:val="24"/>
        </w:rPr>
        <w:t xml:space="preserve"> torture became the equalizer</w:t>
      </w:r>
      <w:r w:rsidR="00A54B85" w:rsidRPr="00424846">
        <w:rPr>
          <w:rFonts w:ascii="Arial" w:hAnsi="Arial" w:cs="Arial"/>
          <w:sz w:val="24"/>
          <w:szCs w:val="24"/>
        </w:rPr>
        <w:t xml:space="preserve"> </w:t>
      </w:r>
      <w:r w:rsidR="003B4881" w:rsidRPr="00424846">
        <w:rPr>
          <w:rFonts w:ascii="Arial" w:hAnsi="Arial" w:cs="Arial"/>
          <w:sz w:val="24"/>
          <w:szCs w:val="24"/>
        </w:rPr>
        <w:t xml:space="preserve">between social classes within </w:t>
      </w:r>
      <w:r w:rsidR="00A54B85" w:rsidRPr="00424846">
        <w:rPr>
          <w:rFonts w:ascii="Arial" w:hAnsi="Arial" w:cs="Arial"/>
          <w:sz w:val="24"/>
          <w:szCs w:val="24"/>
        </w:rPr>
        <w:t xml:space="preserve">society </w:t>
      </w:r>
      <w:r w:rsidR="00EA7F3F" w:rsidRPr="00424846">
        <w:rPr>
          <w:rFonts w:ascii="Arial" w:hAnsi="Arial" w:cs="Arial"/>
          <w:sz w:val="24"/>
          <w:szCs w:val="24"/>
        </w:rPr>
        <w:t xml:space="preserve">and </w:t>
      </w:r>
      <w:r w:rsidR="003B4881" w:rsidRPr="00424846">
        <w:rPr>
          <w:rFonts w:ascii="Arial" w:hAnsi="Arial" w:cs="Arial"/>
          <w:sz w:val="24"/>
          <w:szCs w:val="24"/>
        </w:rPr>
        <w:t xml:space="preserve">was described by the </w:t>
      </w:r>
      <w:r w:rsidR="003B4881" w:rsidRPr="00424846">
        <w:rPr>
          <w:rFonts w:ascii="Arial" w:hAnsi="Arial" w:cs="Arial"/>
          <w:sz w:val="24"/>
          <w:szCs w:val="24"/>
        </w:rPr>
        <w:lastRenderedPageBreak/>
        <w:t>Pope, as a</w:t>
      </w:r>
      <w:r w:rsidR="00A54B85" w:rsidRPr="00424846">
        <w:rPr>
          <w:rFonts w:ascii="Arial" w:hAnsi="Arial" w:cs="Arial"/>
          <w:sz w:val="24"/>
          <w:szCs w:val="24"/>
        </w:rPr>
        <w:t xml:space="preserve"> ‘reliable method to obtain accurate information that aids </w:t>
      </w:r>
      <w:r w:rsidR="003B4881" w:rsidRPr="00424846">
        <w:rPr>
          <w:rFonts w:ascii="Arial" w:hAnsi="Arial" w:cs="Arial"/>
          <w:sz w:val="24"/>
          <w:szCs w:val="24"/>
        </w:rPr>
        <w:t>police</w:t>
      </w:r>
      <w:r w:rsidR="00A54B85" w:rsidRPr="00424846">
        <w:rPr>
          <w:rFonts w:ascii="Arial" w:hAnsi="Arial" w:cs="Arial"/>
          <w:sz w:val="24"/>
          <w:szCs w:val="24"/>
        </w:rPr>
        <w:t xml:space="preserve"> investigation’</w:t>
      </w:r>
      <w:r w:rsidR="009B1F38" w:rsidRPr="00424846">
        <w:rPr>
          <w:rStyle w:val="FootnoteReference"/>
          <w:rFonts w:ascii="Arial" w:hAnsi="Arial" w:cs="Arial"/>
          <w:sz w:val="24"/>
          <w:szCs w:val="24"/>
        </w:rPr>
        <w:footnoteReference w:id="7"/>
      </w:r>
      <w:r w:rsidR="00A54B85" w:rsidRPr="00424846">
        <w:rPr>
          <w:rFonts w:ascii="Arial" w:hAnsi="Arial" w:cs="Arial"/>
          <w:sz w:val="24"/>
          <w:szCs w:val="24"/>
        </w:rPr>
        <w:t>.</w:t>
      </w:r>
      <w:r w:rsidR="00EA7F3F" w:rsidRPr="00424846">
        <w:rPr>
          <w:rFonts w:ascii="Arial" w:hAnsi="Arial" w:cs="Arial"/>
          <w:sz w:val="24"/>
          <w:szCs w:val="24"/>
        </w:rPr>
        <w:t xml:space="preserve"> </w:t>
      </w:r>
      <w:r w:rsidR="00A54B85" w:rsidRPr="00424846">
        <w:rPr>
          <w:rFonts w:ascii="Arial" w:hAnsi="Arial" w:cs="Arial"/>
          <w:sz w:val="24"/>
          <w:szCs w:val="24"/>
        </w:rPr>
        <w:t xml:space="preserve"> </w:t>
      </w:r>
    </w:p>
    <w:p w14:paraId="4A78D50E" w14:textId="195AC635" w:rsidR="003B4881" w:rsidRPr="00424846" w:rsidRDefault="003B4881" w:rsidP="00862139">
      <w:pPr>
        <w:spacing w:line="480" w:lineRule="auto"/>
        <w:jc w:val="both"/>
        <w:rPr>
          <w:rFonts w:ascii="Arial" w:hAnsi="Arial" w:cs="Arial"/>
          <w:sz w:val="24"/>
          <w:szCs w:val="24"/>
        </w:rPr>
      </w:pPr>
      <w:r w:rsidRPr="00424846">
        <w:rPr>
          <w:rFonts w:ascii="Arial" w:hAnsi="Arial" w:cs="Arial"/>
          <w:sz w:val="24"/>
          <w:szCs w:val="24"/>
        </w:rPr>
        <w:t xml:space="preserve">Geary disagrees with Langbien, stating that the tradition of torturing and mutilating the less privileged parts of society has always been a defining and distinctive part of Roman law </w:t>
      </w:r>
      <w:r w:rsidR="004B4E10" w:rsidRPr="00424846">
        <w:rPr>
          <w:rFonts w:ascii="Arial" w:hAnsi="Arial" w:cs="Arial"/>
          <w:sz w:val="24"/>
          <w:szCs w:val="24"/>
        </w:rPr>
        <w:t xml:space="preserve">, </w:t>
      </w:r>
      <w:r w:rsidRPr="00424846">
        <w:rPr>
          <w:rFonts w:ascii="Arial" w:hAnsi="Arial" w:cs="Arial"/>
          <w:sz w:val="24"/>
          <w:szCs w:val="24"/>
        </w:rPr>
        <w:t>pre and post inquisitorial tradition</w:t>
      </w:r>
      <w:r w:rsidR="004B4E10" w:rsidRPr="00424846">
        <w:rPr>
          <w:rFonts w:ascii="Arial" w:hAnsi="Arial" w:cs="Arial"/>
          <w:sz w:val="24"/>
          <w:szCs w:val="24"/>
        </w:rPr>
        <w:t>. H</w:t>
      </w:r>
      <w:r w:rsidRPr="00424846">
        <w:rPr>
          <w:rFonts w:ascii="Arial" w:hAnsi="Arial" w:cs="Arial"/>
          <w:sz w:val="24"/>
          <w:szCs w:val="24"/>
        </w:rPr>
        <w:t>e describes it as a ‘normal and even necessary’</w:t>
      </w:r>
      <w:r w:rsidR="009B1F38" w:rsidRPr="00424846">
        <w:rPr>
          <w:rStyle w:val="FootnoteReference"/>
          <w:rFonts w:ascii="Arial" w:hAnsi="Arial" w:cs="Arial"/>
          <w:sz w:val="24"/>
          <w:szCs w:val="24"/>
        </w:rPr>
        <w:footnoteReference w:id="8"/>
      </w:r>
      <w:r w:rsidRPr="00424846">
        <w:rPr>
          <w:rFonts w:ascii="Arial" w:hAnsi="Arial" w:cs="Arial"/>
          <w:sz w:val="24"/>
          <w:szCs w:val="24"/>
        </w:rPr>
        <w:t xml:space="preserve"> tool use</w:t>
      </w:r>
      <w:r w:rsidR="00635994" w:rsidRPr="00424846">
        <w:rPr>
          <w:rFonts w:ascii="Arial" w:hAnsi="Arial" w:cs="Arial"/>
          <w:sz w:val="24"/>
          <w:szCs w:val="24"/>
        </w:rPr>
        <w:t>d</w:t>
      </w:r>
      <w:r w:rsidRPr="00424846">
        <w:rPr>
          <w:rFonts w:ascii="Arial" w:hAnsi="Arial" w:cs="Arial"/>
          <w:sz w:val="24"/>
          <w:szCs w:val="24"/>
        </w:rPr>
        <w:t xml:space="preserve"> during the interrogation of unfree witnesses, surfs and </w:t>
      </w:r>
      <w:r w:rsidR="007645F0" w:rsidRPr="00424846">
        <w:rPr>
          <w:rFonts w:ascii="Arial" w:hAnsi="Arial" w:cs="Arial"/>
          <w:sz w:val="24"/>
          <w:szCs w:val="24"/>
        </w:rPr>
        <w:t xml:space="preserve">the </w:t>
      </w:r>
      <w:r w:rsidRPr="00424846">
        <w:rPr>
          <w:rFonts w:ascii="Arial" w:hAnsi="Arial" w:cs="Arial"/>
          <w:sz w:val="24"/>
          <w:szCs w:val="24"/>
        </w:rPr>
        <w:t>accused</w:t>
      </w:r>
      <w:r w:rsidR="00635994" w:rsidRPr="00424846">
        <w:rPr>
          <w:rFonts w:ascii="Arial" w:hAnsi="Arial" w:cs="Arial"/>
          <w:sz w:val="24"/>
          <w:szCs w:val="24"/>
        </w:rPr>
        <w:t>, u</w:t>
      </w:r>
      <w:r w:rsidR="007645F0" w:rsidRPr="00424846">
        <w:rPr>
          <w:rFonts w:ascii="Arial" w:hAnsi="Arial" w:cs="Arial"/>
          <w:sz w:val="24"/>
          <w:szCs w:val="24"/>
        </w:rPr>
        <w:t xml:space="preserve">ndermining the claim that an inequitable application of the law only existed pre-inquisitorial period, </w:t>
      </w:r>
      <w:r w:rsidR="004B4E10" w:rsidRPr="00424846">
        <w:rPr>
          <w:rFonts w:ascii="Arial" w:hAnsi="Arial" w:cs="Arial"/>
          <w:sz w:val="24"/>
          <w:szCs w:val="24"/>
        </w:rPr>
        <w:t>when rather</w:t>
      </w:r>
      <w:r w:rsidR="007645F0" w:rsidRPr="00424846">
        <w:rPr>
          <w:rFonts w:ascii="Arial" w:hAnsi="Arial" w:cs="Arial"/>
          <w:sz w:val="24"/>
          <w:szCs w:val="24"/>
        </w:rPr>
        <w:t xml:space="preserve">, </w:t>
      </w:r>
      <w:r w:rsidR="004B4E10" w:rsidRPr="00424846">
        <w:rPr>
          <w:rFonts w:ascii="Arial" w:hAnsi="Arial" w:cs="Arial"/>
          <w:sz w:val="24"/>
          <w:szCs w:val="24"/>
        </w:rPr>
        <w:t>it was a</w:t>
      </w:r>
      <w:r w:rsidR="00C62219" w:rsidRPr="00424846">
        <w:rPr>
          <w:rFonts w:ascii="Arial" w:hAnsi="Arial" w:cs="Arial"/>
          <w:sz w:val="24"/>
          <w:szCs w:val="24"/>
        </w:rPr>
        <w:t xml:space="preserve"> </w:t>
      </w:r>
      <w:r w:rsidR="007645F0" w:rsidRPr="00424846">
        <w:rPr>
          <w:rFonts w:ascii="Arial" w:hAnsi="Arial" w:cs="Arial"/>
          <w:sz w:val="24"/>
          <w:szCs w:val="24"/>
        </w:rPr>
        <w:t>defining factor</w:t>
      </w:r>
      <w:r w:rsidR="00C62219" w:rsidRPr="00424846">
        <w:rPr>
          <w:rFonts w:ascii="Arial" w:hAnsi="Arial" w:cs="Arial"/>
          <w:sz w:val="24"/>
          <w:szCs w:val="24"/>
        </w:rPr>
        <w:t xml:space="preserve"> which </w:t>
      </w:r>
      <w:r w:rsidR="007645F0" w:rsidRPr="00424846">
        <w:rPr>
          <w:rFonts w:ascii="Arial" w:hAnsi="Arial" w:cs="Arial"/>
          <w:sz w:val="24"/>
          <w:szCs w:val="24"/>
        </w:rPr>
        <w:t>characterized Roman Law around Europe</w:t>
      </w:r>
      <w:r w:rsidR="007645F0" w:rsidRPr="00424846">
        <w:rPr>
          <w:rStyle w:val="FootnoteReference"/>
          <w:rFonts w:ascii="Arial" w:hAnsi="Arial" w:cs="Arial"/>
          <w:sz w:val="24"/>
          <w:szCs w:val="24"/>
        </w:rPr>
        <w:footnoteReference w:id="9"/>
      </w:r>
      <w:r w:rsidR="00635994" w:rsidRPr="00424846">
        <w:rPr>
          <w:rFonts w:ascii="Arial" w:hAnsi="Arial" w:cs="Arial"/>
          <w:sz w:val="24"/>
          <w:szCs w:val="24"/>
        </w:rPr>
        <w:t xml:space="preserve"> and continued to do so even after the enlightenment period</w:t>
      </w:r>
      <w:r w:rsidR="007645F0" w:rsidRPr="00424846">
        <w:rPr>
          <w:rFonts w:ascii="Arial" w:hAnsi="Arial" w:cs="Arial"/>
          <w:sz w:val="24"/>
          <w:szCs w:val="24"/>
        </w:rPr>
        <w:t xml:space="preserve">.   </w:t>
      </w:r>
    </w:p>
    <w:p w14:paraId="1311E7F1" w14:textId="77777777" w:rsidR="00635994" w:rsidRPr="00424846" w:rsidRDefault="00A54B85" w:rsidP="00862139">
      <w:pPr>
        <w:spacing w:line="480" w:lineRule="auto"/>
        <w:jc w:val="both"/>
        <w:rPr>
          <w:rFonts w:ascii="Arial" w:hAnsi="Arial" w:cs="Arial"/>
          <w:sz w:val="24"/>
          <w:szCs w:val="24"/>
        </w:rPr>
      </w:pPr>
      <w:r w:rsidRPr="00424846">
        <w:rPr>
          <w:rFonts w:ascii="Arial" w:hAnsi="Arial" w:cs="Arial"/>
          <w:sz w:val="24"/>
          <w:szCs w:val="24"/>
        </w:rPr>
        <w:t>Its origins</w:t>
      </w:r>
      <w:r w:rsidR="00EA7F3F" w:rsidRPr="00424846">
        <w:rPr>
          <w:rFonts w:ascii="Arial" w:hAnsi="Arial" w:cs="Arial"/>
          <w:sz w:val="24"/>
          <w:szCs w:val="24"/>
        </w:rPr>
        <w:t xml:space="preserve">, as indicated above through the statement of Pope Innocent, </w:t>
      </w:r>
      <w:r w:rsidRPr="00424846">
        <w:rPr>
          <w:rFonts w:ascii="Arial" w:hAnsi="Arial" w:cs="Arial"/>
          <w:sz w:val="24"/>
          <w:szCs w:val="24"/>
        </w:rPr>
        <w:t xml:space="preserve">stem from the biblical perspective that the state </w:t>
      </w:r>
      <w:r w:rsidR="002D2BD9" w:rsidRPr="00424846">
        <w:rPr>
          <w:rFonts w:ascii="Arial" w:hAnsi="Arial" w:cs="Arial"/>
          <w:sz w:val="24"/>
          <w:szCs w:val="24"/>
        </w:rPr>
        <w:t>is</w:t>
      </w:r>
      <w:r w:rsidRPr="00424846">
        <w:rPr>
          <w:rFonts w:ascii="Arial" w:hAnsi="Arial" w:cs="Arial"/>
          <w:sz w:val="24"/>
          <w:szCs w:val="24"/>
        </w:rPr>
        <w:t xml:space="preserve"> empowered by God to maintain social hegemony and prevent anarchy</w:t>
      </w:r>
      <w:r w:rsidR="00C26750" w:rsidRPr="00424846">
        <w:rPr>
          <w:rStyle w:val="FootnoteReference"/>
          <w:rFonts w:ascii="Arial" w:hAnsi="Arial" w:cs="Arial"/>
          <w:sz w:val="24"/>
          <w:szCs w:val="24"/>
        </w:rPr>
        <w:footnoteReference w:id="10"/>
      </w:r>
      <w:r w:rsidR="002D2BD9" w:rsidRPr="00424846">
        <w:rPr>
          <w:rFonts w:ascii="Arial" w:hAnsi="Arial" w:cs="Arial"/>
          <w:sz w:val="24"/>
          <w:szCs w:val="24"/>
        </w:rPr>
        <w:t>, this g</w:t>
      </w:r>
      <w:r w:rsidR="00492639" w:rsidRPr="00424846">
        <w:rPr>
          <w:rFonts w:ascii="Arial" w:hAnsi="Arial" w:cs="Arial"/>
          <w:sz w:val="24"/>
          <w:szCs w:val="24"/>
        </w:rPr>
        <w:t>ives</w:t>
      </w:r>
      <w:r w:rsidR="002D2BD9" w:rsidRPr="00424846">
        <w:rPr>
          <w:rFonts w:ascii="Arial" w:hAnsi="Arial" w:cs="Arial"/>
          <w:sz w:val="24"/>
          <w:szCs w:val="24"/>
        </w:rPr>
        <w:t xml:space="preserve"> them the validity they need to torture or punish suspects as ‘agents of Gods will’</w:t>
      </w:r>
      <w:r w:rsidR="002D2BD9" w:rsidRPr="00424846">
        <w:rPr>
          <w:rStyle w:val="FootnoteReference"/>
          <w:rFonts w:ascii="Arial" w:hAnsi="Arial" w:cs="Arial"/>
          <w:sz w:val="24"/>
          <w:szCs w:val="24"/>
        </w:rPr>
        <w:footnoteReference w:id="11"/>
      </w:r>
      <w:r w:rsidR="002D2BD9" w:rsidRPr="00424846">
        <w:rPr>
          <w:rFonts w:ascii="Arial" w:hAnsi="Arial" w:cs="Arial"/>
          <w:sz w:val="24"/>
          <w:szCs w:val="24"/>
        </w:rPr>
        <w:t xml:space="preserve">. </w:t>
      </w:r>
      <w:r w:rsidR="00492639" w:rsidRPr="00424846">
        <w:rPr>
          <w:rFonts w:ascii="Arial" w:hAnsi="Arial" w:cs="Arial"/>
          <w:sz w:val="24"/>
          <w:szCs w:val="24"/>
        </w:rPr>
        <w:t>They</w:t>
      </w:r>
      <w:r w:rsidR="002D2BD9" w:rsidRPr="00424846">
        <w:rPr>
          <w:rFonts w:ascii="Arial" w:hAnsi="Arial" w:cs="Arial"/>
          <w:sz w:val="24"/>
          <w:szCs w:val="24"/>
        </w:rPr>
        <w:t xml:space="preserve"> believed that through their use of torture they could invoke God’s judgement and God would actively intervene to make the truth </w:t>
      </w:r>
      <w:r w:rsidR="00492639" w:rsidRPr="00424846">
        <w:rPr>
          <w:rFonts w:ascii="Arial" w:hAnsi="Arial" w:cs="Arial"/>
          <w:sz w:val="24"/>
          <w:szCs w:val="24"/>
        </w:rPr>
        <w:t xml:space="preserve">is </w:t>
      </w:r>
      <w:r w:rsidR="002D2BD9" w:rsidRPr="00424846">
        <w:rPr>
          <w:rFonts w:ascii="Arial" w:hAnsi="Arial" w:cs="Arial"/>
          <w:sz w:val="24"/>
          <w:szCs w:val="24"/>
        </w:rPr>
        <w:t>known to the courts, through the suspects confession</w:t>
      </w:r>
      <w:r w:rsidR="00492639" w:rsidRPr="00424846">
        <w:rPr>
          <w:rFonts w:ascii="Arial" w:hAnsi="Arial" w:cs="Arial"/>
          <w:sz w:val="24"/>
          <w:szCs w:val="24"/>
        </w:rPr>
        <w:t xml:space="preserve"> of guilt</w:t>
      </w:r>
      <w:r w:rsidR="002D2BD9" w:rsidRPr="00424846">
        <w:rPr>
          <w:rFonts w:ascii="Arial" w:hAnsi="Arial" w:cs="Arial"/>
          <w:sz w:val="24"/>
          <w:szCs w:val="24"/>
        </w:rPr>
        <w:t>.</w:t>
      </w:r>
      <w:r w:rsidR="00492639" w:rsidRPr="00424846">
        <w:rPr>
          <w:rFonts w:ascii="Arial" w:hAnsi="Arial" w:cs="Arial"/>
          <w:sz w:val="24"/>
          <w:szCs w:val="24"/>
        </w:rPr>
        <w:t xml:space="preserve"> </w:t>
      </w:r>
    </w:p>
    <w:p w14:paraId="5FA5137F" w14:textId="44EC1092" w:rsidR="00FD1E87" w:rsidRPr="00424846" w:rsidRDefault="00894D4B" w:rsidP="00862139">
      <w:pPr>
        <w:spacing w:line="480" w:lineRule="auto"/>
        <w:jc w:val="both"/>
        <w:rPr>
          <w:rFonts w:ascii="Arial" w:hAnsi="Arial" w:cs="Arial"/>
          <w:sz w:val="24"/>
          <w:szCs w:val="24"/>
        </w:rPr>
      </w:pPr>
      <w:r w:rsidRPr="00424846">
        <w:rPr>
          <w:rFonts w:ascii="Arial" w:hAnsi="Arial" w:cs="Arial"/>
          <w:sz w:val="24"/>
          <w:szCs w:val="24"/>
        </w:rPr>
        <w:t>The m</w:t>
      </w:r>
      <w:r w:rsidR="00635994" w:rsidRPr="00424846">
        <w:rPr>
          <w:rFonts w:ascii="Arial" w:hAnsi="Arial" w:cs="Arial"/>
          <w:sz w:val="24"/>
          <w:szCs w:val="24"/>
        </w:rPr>
        <w:t>ost notable reform writers</w:t>
      </w:r>
      <w:r w:rsidR="0009750C" w:rsidRPr="00424846">
        <w:rPr>
          <w:rFonts w:ascii="Arial" w:hAnsi="Arial" w:cs="Arial"/>
          <w:sz w:val="24"/>
          <w:szCs w:val="24"/>
        </w:rPr>
        <w:t xml:space="preserve"> provide an accurate account of societies views and concerns regarding the use of JT</w:t>
      </w:r>
      <w:r w:rsidR="00635994" w:rsidRPr="00424846">
        <w:rPr>
          <w:rFonts w:ascii="Arial" w:hAnsi="Arial" w:cs="Arial"/>
          <w:sz w:val="24"/>
          <w:szCs w:val="24"/>
        </w:rPr>
        <w:t xml:space="preserve">, like Fouracre and Herstal, </w:t>
      </w:r>
      <w:r w:rsidR="008B7553" w:rsidRPr="00424846">
        <w:rPr>
          <w:rFonts w:ascii="Arial" w:hAnsi="Arial" w:cs="Arial"/>
          <w:sz w:val="24"/>
          <w:szCs w:val="24"/>
        </w:rPr>
        <w:t xml:space="preserve">who </w:t>
      </w:r>
      <w:r w:rsidR="00635994" w:rsidRPr="00424846">
        <w:rPr>
          <w:rFonts w:ascii="Arial" w:hAnsi="Arial" w:cs="Arial"/>
          <w:sz w:val="24"/>
          <w:szCs w:val="24"/>
        </w:rPr>
        <w:t xml:space="preserve">argued mostly from the perspective that the law and courts are too lenient on suspects and need to take a much firmer hand in extracting confessions and delivering justice, </w:t>
      </w:r>
      <w:r w:rsidR="0009750C" w:rsidRPr="00424846">
        <w:rPr>
          <w:rFonts w:ascii="Arial" w:hAnsi="Arial" w:cs="Arial"/>
          <w:sz w:val="24"/>
          <w:szCs w:val="24"/>
        </w:rPr>
        <w:t xml:space="preserve">concluding that </w:t>
      </w:r>
      <w:r w:rsidR="0009750C" w:rsidRPr="00424846">
        <w:rPr>
          <w:rFonts w:ascii="Arial" w:hAnsi="Arial" w:cs="Arial"/>
          <w:sz w:val="24"/>
          <w:szCs w:val="24"/>
        </w:rPr>
        <w:lastRenderedPageBreak/>
        <w:t>JT was not</w:t>
      </w:r>
      <w:r w:rsidRPr="00424846">
        <w:rPr>
          <w:rFonts w:ascii="Arial" w:hAnsi="Arial" w:cs="Arial"/>
          <w:sz w:val="24"/>
          <w:szCs w:val="24"/>
        </w:rPr>
        <w:t xml:space="preserve"> harsh enough</w:t>
      </w:r>
      <w:r w:rsidR="0009750C" w:rsidRPr="00424846">
        <w:rPr>
          <w:rFonts w:ascii="Arial" w:hAnsi="Arial" w:cs="Arial"/>
          <w:sz w:val="24"/>
          <w:szCs w:val="24"/>
        </w:rPr>
        <w:t xml:space="preserve"> and enabled suspects to  evade justice</w:t>
      </w:r>
      <w:r w:rsidRPr="00424846">
        <w:rPr>
          <w:rFonts w:ascii="Arial" w:hAnsi="Arial" w:cs="Arial"/>
          <w:sz w:val="24"/>
          <w:szCs w:val="24"/>
        </w:rPr>
        <w:t>. Completely contrasting the accounts of Baccaria and Voltaire, who argued from the standpoint of the</w:t>
      </w:r>
      <w:r w:rsidR="00635994" w:rsidRPr="00424846">
        <w:rPr>
          <w:rFonts w:ascii="Arial" w:hAnsi="Arial" w:cs="Arial"/>
          <w:sz w:val="24"/>
          <w:szCs w:val="24"/>
        </w:rPr>
        <w:t xml:space="preserve"> </w:t>
      </w:r>
      <w:r w:rsidRPr="00424846">
        <w:rPr>
          <w:rFonts w:ascii="Arial" w:hAnsi="Arial" w:cs="Arial"/>
          <w:sz w:val="24"/>
          <w:szCs w:val="24"/>
        </w:rPr>
        <w:t xml:space="preserve">numerous </w:t>
      </w:r>
      <w:r w:rsidR="0009750C" w:rsidRPr="00424846">
        <w:rPr>
          <w:rFonts w:ascii="Arial" w:hAnsi="Arial" w:cs="Arial"/>
          <w:sz w:val="24"/>
          <w:szCs w:val="24"/>
        </w:rPr>
        <w:t>reports</w:t>
      </w:r>
      <w:r w:rsidR="00635994" w:rsidRPr="00424846">
        <w:rPr>
          <w:rFonts w:ascii="Arial" w:hAnsi="Arial" w:cs="Arial"/>
          <w:sz w:val="24"/>
          <w:szCs w:val="24"/>
        </w:rPr>
        <w:t xml:space="preserve"> of injustice</w:t>
      </w:r>
      <w:r w:rsidRPr="00424846">
        <w:rPr>
          <w:rFonts w:ascii="Arial" w:hAnsi="Arial" w:cs="Arial"/>
          <w:sz w:val="24"/>
          <w:szCs w:val="24"/>
        </w:rPr>
        <w:t xml:space="preserve"> </w:t>
      </w:r>
      <w:r w:rsidR="00C62219" w:rsidRPr="00424846">
        <w:rPr>
          <w:rFonts w:ascii="Arial" w:hAnsi="Arial" w:cs="Arial"/>
          <w:sz w:val="24"/>
          <w:szCs w:val="24"/>
        </w:rPr>
        <w:t>committed by the court through their torture of innocent men</w:t>
      </w:r>
      <w:r w:rsidR="000721D6" w:rsidRPr="00424846">
        <w:rPr>
          <w:rStyle w:val="FootnoteReference"/>
          <w:rFonts w:ascii="Arial" w:hAnsi="Arial" w:cs="Arial"/>
          <w:sz w:val="24"/>
          <w:szCs w:val="24"/>
        </w:rPr>
        <w:footnoteReference w:id="12"/>
      </w:r>
      <w:r w:rsidR="000721D6" w:rsidRPr="00424846">
        <w:rPr>
          <w:rFonts w:ascii="Arial" w:hAnsi="Arial" w:cs="Arial"/>
          <w:sz w:val="24"/>
          <w:szCs w:val="24"/>
        </w:rPr>
        <w:t xml:space="preserve">. </w:t>
      </w:r>
      <w:r w:rsidR="001067EC" w:rsidRPr="00424846">
        <w:rPr>
          <w:rFonts w:ascii="Arial" w:hAnsi="Arial" w:cs="Arial"/>
          <w:sz w:val="24"/>
          <w:szCs w:val="24"/>
        </w:rPr>
        <w:t>Theodulf of Orleans</w:t>
      </w:r>
      <w:r w:rsidR="0009750C" w:rsidRPr="00424846">
        <w:rPr>
          <w:rFonts w:ascii="Arial" w:hAnsi="Arial" w:cs="Arial"/>
          <w:sz w:val="24"/>
          <w:szCs w:val="24"/>
        </w:rPr>
        <w:t xml:space="preserve">, </w:t>
      </w:r>
      <w:r w:rsidR="00450FDF" w:rsidRPr="00424846">
        <w:rPr>
          <w:rFonts w:ascii="Arial" w:hAnsi="Arial" w:cs="Arial"/>
          <w:sz w:val="24"/>
          <w:szCs w:val="24"/>
        </w:rPr>
        <w:t xml:space="preserve">on the other hand, </w:t>
      </w:r>
      <w:r w:rsidR="0009750C" w:rsidRPr="00424846">
        <w:rPr>
          <w:rFonts w:ascii="Arial" w:hAnsi="Arial" w:cs="Arial"/>
          <w:sz w:val="24"/>
          <w:szCs w:val="24"/>
        </w:rPr>
        <w:t xml:space="preserve">attempts to merge the two, </w:t>
      </w:r>
      <w:r w:rsidR="001067EC" w:rsidRPr="00424846">
        <w:rPr>
          <w:rFonts w:ascii="Arial" w:hAnsi="Arial" w:cs="Arial"/>
          <w:sz w:val="24"/>
          <w:szCs w:val="24"/>
        </w:rPr>
        <w:t>argu</w:t>
      </w:r>
      <w:r w:rsidR="0009750C" w:rsidRPr="00424846">
        <w:rPr>
          <w:rFonts w:ascii="Arial" w:hAnsi="Arial" w:cs="Arial"/>
          <w:sz w:val="24"/>
          <w:szCs w:val="24"/>
        </w:rPr>
        <w:t>ing</w:t>
      </w:r>
      <w:r w:rsidR="001067EC" w:rsidRPr="00424846">
        <w:rPr>
          <w:rFonts w:ascii="Arial" w:hAnsi="Arial" w:cs="Arial"/>
          <w:sz w:val="24"/>
          <w:szCs w:val="24"/>
        </w:rPr>
        <w:t xml:space="preserve"> that both injustices are a product of the other, </w:t>
      </w:r>
      <w:r w:rsidR="00C62219" w:rsidRPr="00424846">
        <w:rPr>
          <w:rFonts w:ascii="Arial" w:hAnsi="Arial" w:cs="Arial"/>
          <w:sz w:val="24"/>
          <w:szCs w:val="24"/>
        </w:rPr>
        <w:t xml:space="preserve">when </w:t>
      </w:r>
      <w:r w:rsidR="0009750C" w:rsidRPr="00424846">
        <w:rPr>
          <w:rFonts w:ascii="Arial" w:hAnsi="Arial" w:cs="Arial"/>
          <w:sz w:val="24"/>
          <w:szCs w:val="24"/>
        </w:rPr>
        <w:t>judges</w:t>
      </w:r>
      <w:r w:rsidR="00C62219" w:rsidRPr="00424846">
        <w:rPr>
          <w:rFonts w:ascii="Arial" w:hAnsi="Arial" w:cs="Arial"/>
          <w:sz w:val="24"/>
          <w:szCs w:val="24"/>
        </w:rPr>
        <w:t xml:space="preserve"> are too lenient with </w:t>
      </w:r>
      <w:r w:rsidR="0009750C" w:rsidRPr="00424846">
        <w:rPr>
          <w:rFonts w:ascii="Arial" w:hAnsi="Arial" w:cs="Arial"/>
          <w:sz w:val="24"/>
          <w:szCs w:val="24"/>
        </w:rPr>
        <w:t xml:space="preserve">certain </w:t>
      </w:r>
      <w:r w:rsidR="00C62219" w:rsidRPr="00424846">
        <w:rPr>
          <w:rFonts w:ascii="Arial" w:hAnsi="Arial" w:cs="Arial"/>
          <w:sz w:val="24"/>
          <w:szCs w:val="24"/>
        </w:rPr>
        <w:t xml:space="preserve">suspects, this causes other judges to be too harsh on </w:t>
      </w:r>
      <w:r w:rsidR="00450FDF" w:rsidRPr="00424846">
        <w:rPr>
          <w:rFonts w:ascii="Arial" w:hAnsi="Arial" w:cs="Arial"/>
          <w:sz w:val="24"/>
          <w:szCs w:val="24"/>
        </w:rPr>
        <w:t xml:space="preserve">other </w:t>
      </w:r>
      <w:r w:rsidR="00C62219" w:rsidRPr="00424846">
        <w:rPr>
          <w:rFonts w:ascii="Arial" w:hAnsi="Arial" w:cs="Arial"/>
          <w:sz w:val="24"/>
          <w:szCs w:val="24"/>
        </w:rPr>
        <w:t xml:space="preserve">suspects, </w:t>
      </w:r>
      <w:r w:rsidR="0009750C" w:rsidRPr="00424846">
        <w:rPr>
          <w:rFonts w:ascii="Arial" w:hAnsi="Arial" w:cs="Arial"/>
          <w:sz w:val="24"/>
          <w:szCs w:val="24"/>
        </w:rPr>
        <w:t>concluding</w:t>
      </w:r>
      <w:r w:rsidR="00C62219" w:rsidRPr="00424846">
        <w:rPr>
          <w:rFonts w:ascii="Arial" w:hAnsi="Arial" w:cs="Arial"/>
          <w:sz w:val="24"/>
          <w:szCs w:val="24"/>
        </w:rPr>
        <w:t xml:space="preserve"> that the whole system of torture should be ‘done way with’ as it creates a volatile legal system</w:t>
      </w:r>
      <w:r w:rsidR="00C62219" w:rsidRPr="00424846">
        <w:rPr>
          <w:rStyle w:val="FootnoteReference"/>
          <w:rFonts w:ascii="Arial" w:hAnsi="Arial" w:cs="Arial"/>
          <w:sz w:val="24"/>
          <w:szCs w:val="24"/>
        </w:rPr>
        <w:footnoteReference w:id="13"/>
      </w:r>
      <w:r w:rsidR="0009750C" w:rsidRPr="00424846">
        <w:rPr>
          <w:rFonts w:ascii="Arial" w:hAnsi="Arial" w:cs="Arial"/>
          <w:sz w:val="24"/>
          <w:szCs w:val="24"/>
        </w:rPr>
        <w:t>, making him one of the first writers to argue against JT, both on a practical perspective and a theological one, as he states that ‘no punishment prescribed by Roman law or coercion enforced upon suspects as a result of JT derives from the Bible’</w:t>
      </w:r>
      <w:r w:rsidR="00C02605" w:rsidRPr="00424846">
        <w:rPr>
          <w:rStyle w:val="FootnoteReference"/>
          <w:rFonts w:ascii="Arial" w:hAnsi="Arial" w:cs="Arial"/>
          <w:sz w:val="24"/>
          <w:szCs w:val="24"/>
        </w:rPr>
        <w:footnoteReference w:id="14"/>
      </w:r>
      <w:r w:rsidR="0009750C" w:rsidRPr="00424846">
        <w:rPr>
          <w:rFonts w:ascii="Arial" w:hAnsi="Arial" w:cs="Arial"/>
          <w:sz w:val="24"/>
          <w:szCs w:val="24"/>
        </w:rPr>
        <w:t xml:space="preserve">. </w:t>
      </w:r>
    </w:p>
    <w:p w14:paraId="44E9ECDA" w14:textId="77777777" w:rsidR="00862139" w:rsidRDefault="00862139" w:rsidP="00862139">
      <w:pPr>
        <w:spacing w:line="480" w:lineRule="auto"/>
        <w:jc w:val="center"/>
        <w:rPr>
          <w:rFonts w:ascii="Arial" w:hAnsi="Arial" w:cs="Arial"/>
          <w:b/>
          <w:bCs/>
          <w:sz w:val="24"/>
          <w:szCs w:val="24"/>
          <w:u w:val="single"/>
        </w:rPr>
      </w:pPr>
    </w:p>
    <w:p w14:paraId="6CA921DC" w14:textId="77777777" w:rsidR="00862139" w:rsidRDefault="00862139" w:rsidP="00862139">
      <w:pPr>
        <w:spacing w:line="480" w:lineRule="auto"/>
        <w:jc w:val="center"/>
        <w:rPr>
          <w:rFonts w:ascii="Arial" w:hAnsi="Arial" w:cs="Arial"/>
          <w:b/>
          <w:bCs/>
          <w:sz w:val="24"/>
          <w:szCs w:val="24"/>
          <w:u w:val="single"/>
        </w:rPr>
      </w:pPr>
    </w:p>
    <w:p w14:paraId="1AC53E10" w14:textId="77777777" w:rsidR="00862139" w:rsidRDefault="00862139" w:rsidP="00862139">
      <w:pPr>
        <w:spacing w:line="480" w:lineRule="auto"/>
        <w:jc w:val="center"/>
        <w:rPr>
          <w:rFonts w:ascii="Arial" w:hAnsi="Arial" w:cs="Arial"/>
          <w:b/>
          <w:bCs/>
          <w:sz w:val="24"/>
          <w:szCs w:val="24"/>
          <w:u w:val="single"/>
        </w:rPr>
      </w:pPr>
    </w:p>
    <w:p w14:paraId="1318C99E" w14:textId="77777777" w:rsidR="00862139" w:rsidRDefault="00862139" w:rsidP="00862139">
      <w:pPr>
        <w:spacing w:line="480" w:lineRule="auto"/>
        <w:jc w:val="center"/>
        <w:rPr>
          <w:rFonts w:ascii="Arial" w:hAnsi="Arial" w:cs="Arial"/>
          <w:b/>
          <w:bCs/>
          <w:sz w:val="24"/>
          <w:szCs w:val="24"/>
          <w:u w:val="single"/>
        </w:rPr>
      </w:pPr>
    </w:p>
    <w:p w14:paraId="21AADB17" w14:textId="77777777" w:rsidR="00862139" w:rsidRDefault="00862139" w:rsidP="00862139">
      <w:pPr>
        <w:spacing w:line="480" w:lineRule="auto"/>
        <w:jc w:val="center"/>
        <w:rPr>
          <w:rFonts w:ascii="Arial" w:hAnsi="Arial" w:cs="Arial"/>
          <w:b/>
          <w:bCs/>
          <w:sz w:val="24"/>
          <w:szCs w:val="24"/>
          <w:u w:val="single"/>
        </w:rPr>
      </w:pPr>
    </w:p>
    <w:p w14:paraId="4ED5B01C" w14:textId="77777777" w:rsidR="00862139" w:rsidRDefault="00862139" w:rsidP="00862139">
      <w:pPr>
        <w:spacing w:line="480" w:lineRule="auto"/>
        <w:jc w:val="center"/>
        <w:rPr>
          <w:rFonts w:ascii="Arial" w:hAnsi="Arial" w:cs="Arial"/>
          <w:b/>
          <w:bCs/>
          <w:sz w:val="24"/>
          <w:szCs w:val="24"/>
          <w:u w:val="single"/>
        </w:rPr>
      </w:pPr>
    </w:p>
    <w:p w14:paraId="70423652" w14:textId="77777777" w:rsidR="00862139" w:rsidRDefault="00862139" w:rsidP="00862139">
      <w:pPr>
        <w:spacing w:line="480" w:lineRule="auto"/>
        <w:jc w:val="center"/>
        <w:rPr>
          <w:rFonts w:ascii="Arial" w:hAnsi="Arial" w:cs="Arial"/>
          <w:b/>
          <w:bCs/>
          <w:sz w:val="24"/>
          <w:szCs w:val="24"/>
          <w:u w:val="single"/>
        </w:rPr>
      </w:pPr>
    </w:p>
    <w:p w14:paraId="01D3E6E4" w14:textId="77777777" w:rsidR="00862139" w:rsidRDefault="00862139" w:rsidP="00862139">
      <w:pPr>
        <w:spacing w:line="480" w:lineRule="auto"/>
        <w:jc w:val="center"/>
        <w:rPr>
          <w:rFonts w:ascii="Arial" w:hAnsi="Arial" w:cs="Arial"/>
          <w:b/>
          <w:bCs/>
          <w:sz w:val="24"/>
          <w:szCs w:val="24"/>
          <w:u w:val="single"/>
        </w:rPr>
      </w:pPr>
    </w:p>
    <w:p w14:paraId="16666D07" w14:textId="77777777" w:rsidR="00862139" w:rsidRDefault="00862139" w:rsidP="00862139">
      <w:pPr>
        <w:spacing w:line="480" w:lineRule="auto"/>
        <w:rPr>
          <w:rFonts w:ascii="Arial" w:hAnsi="Arial" w:cs="Arial"/>
          <w:b/>
          <w:bCs/>
          <w:sz w:val="24"/>
          <w:szCs w:val="24"/>
          <w:u w:val="single"/>
        </w:rPr>
      </w:pPr>
    </w:p>
    <w:p w14:paraId="76149FB3" w14:textId="39193080" w:rsidR="00FD1E87" w:rsidRPr="00862139" w:rsidRDefault="008C27EA" w:rsidP="00862139">
      <w:pPr>
        <w:spacing w:line="480" w:lineRule="auto"/>
        <w:jc w:val="center"/>
        <w:rPr>
          <w:rFonts w:ascii="Arial" w:hAnsi="Arial" w:cs="Arial"/>
          <w:b/>
          <w:bCs/>
          <w:sz w:val="24"/>
          <w:szCs w:val="24"/>
          <w:u w:val="single"/>
        </w:rPr>
      </w:pPr>
      <w:r w:rsidRPr="00862139">
        <w:rPr>
          <w:rFonts w:ascii="Arial" w:hAnsi="Arial" w:cs="Arial"/>
          <w:b/>
          <w:bCs/>
          <w:sz w:val="24"/>
          <w:szCs w:val="24"/>
          <w:u w:val="single"/>
        </w:rPr>
        <w:lastRenderedPageBreak/>
        <w:t xml:space="preserve">Rules and </w:t>
      </w:r>
      <w:r w:rsidR="00FD1E87" w:rsidRPr="00862139">
        <w:rPr>
          <w:rFonts w:ascii="Arial" w:hAnsi="Arial" w:cs="Arial"/>
          <w:b/>
          <w:bCs/>
          <w:sz w:val="24"/>
          <w:szCs w:val="24"/>
          <w:u w:val="single"/>
        </w:rPr>
        <w:t xml:space="preserve">Jurisprudence of </w:t>
      </w:r>
      <w:r w:rsidR="00EA7F3F" w:rsidRPr="00862139">
        <w:rPr>
          <w:rFonts w:ascii="Arial" w:hAnsi="Arial" w:cs="Arial"/>
          <w:b/>
          <w:bCs/>
          <w:sz w:val="24"/>
          <w:szCs w:val="24"/>
          <w:u w:val="single"/>
        </w:rPr>
        <w:t>JT</w:t>
      </w:r>
      <w:r w:rsidR="00FD1E87" w:rsidRPr="00862139">
        <w:rPr>
          <w:rFonts w:ascii="Arial" w:hAnsi="Arial" w:cs="Arial"/>
          <w:b/>
          <w:bCs/>
          <w:sz w:val="24"/>
          <w:szCs w:val="24"/>
          <w:u w:val="single"/>
        </w:rPr>
        <w:t>:</w:t>
      </w:r>
    </w:p>
    <w:p w14:paraId="103F86CC" w14:textId="36D12996" w:rsidR="00FD1E87" w:rsidRPr="00424846" w:rsidRDefault="008C27EA" w:rsidP="00862139">
      <w:pPr>
        <w:spacing w:line="480" w:lineRule="auto"/>
        <w:jc w:val="both"/>
        <w:rPr>
          <w:rFonts w:ascii="Arial" w:hAnsi="Arial" w:cs="Arial"/>
          <w:sz w:val="24"/>
          <w:szCs w:val="24"/>
        </w:rPr>
      </w:pPr>
      <w:r w:rsidRPr="00424846">
        <w:rPr>
          <w:rFonts w:ascii="Arial" w:hAnsi="Arial" w:cs="Arial"/>
          <w:sz w:val="24"/>
          <w:szCs w:val="24"/>
        </w:rPr>
        <w:t>The importance of JT centres around how courts cannot convict a suspect accused of a crime without a clear and consistent confession</w:t>
      </w:r>
      <w:r w:rsidR="00CF124E" w:rsidRPr="00424846">
        <w:rPr>
          <w:rFonts w:ascii="Arial" w:hAnsi="Arial" w:cs="Arial"/>
          <w:sz w:val="24"/>
          <w:szCs w:val="24"/>
        </w:rPr>
        <w:t xml:space="preserve"> proclaiming their guilt </w:t>
      </w:r>
      <w:r w:rsidRPr="00424846">
        <w:rPr>
          <w:rFonts w:ascii="Arial" w:hAnsi="Arial" w:cs="Arial"/>
          <w:sz w:val="24"/>
          <w:szCs w:val="24"/>
        </w:rPr>
        <w:t xml:space="preserve">to accompany the </w:t>
      </w:r>
      <w:r w:rsidR="00CF124E" w:rsidRPr="00424846">
        <w:rPr>
          <w:rFonts w:ascii="Arial" w:hAnsi="Arial" w:cs="Arial"/>
          <w:sz w:val="24"/>
          <w:szCs w:val="24"/>
        </w:rPr>
        <w:t xml:space="preserve">strong </w:t>
      </w:r>
      <w:r w:rsidRPr="00424846">
        <w:rPr>
          <w:rFonts w:ascii="Arial" w:hAnsi="Arial" w:cs="Arial"/>
          <w:sz w:val="24"/>
          <w:szCs w:val="24"/>
        </w:rPr>
        <w:t>corroborating evidence</w:t>
      </w:r>
      <w:r w:rsidR="00CF124E" w:rsidRPr="00424846">
        <w:rPr>
          <w:rFonts w:ascii="Arial" w:hAnsi="Arial" w:cs="Arial"/>
          <w:sz w:val="24"/>
          <w:szCs w:val="24"/>
        </w:rPr>
        <w:t xml:space="preserve">, in the form of 1 eye-witness testimony or circumstantial evidence, </w:t>
      </w:r>
      <w:r w:rsidRPr="00424846">
        <w:rPr>
          <w:rFonts w:ascii="Arial" w:hAnsi="Arial" w:cs="Arial"/>
          <w:sz w:val="24"/>
          <w:szCs w:val="24"/>
        </w:rPr>
        <w:t>collected by the prosecution</w:t>
      </w:r>
      <w:r w:rsidR="00CF124E" w:rsidRPr="00424846">
        <w:rPr>
          <w:rFonts w:ascii="Arial" w:hAnsi="Arial" w:cs="Arial"/>
          <w:sz w:val="24"/>
          <w:szCs w:val="24"/>
        </w:rPr>
        <w:t>. In this instance, the corroborating evidence is only ‘half-proof’</w:t>
      </w:r>
      <w:r w:rsidR="009B1F38" w:rsidRPr="00424846">
        <w:rPr>
          <w:rStyle w:val="FootnoteReference"/>
          <w:rFonts w:ascii="Arial" w:hAnsi="Arial" w:cs="Arial"/>
          <w:sz w:val="24"/>
          <w:szCs w:val="24"/>
        </w:rPr>
        <w:footnoteReference w:id="15"/>
      </w:r>
      <w:r w:rsidR="00CF124E" w:rsidRPr="00424846">
        <w:rPr>
          <w:rFonts w:ascii="Arial" w:hAnsi="Arial" w:cs="Arial"/>
          <w:sz w:val="24"/>
          <w:szCs w:val="24"/>
        </w:rPr>
        <w:t xml:space="preserve"> of what is needed to convict, and the confession obtained under torture is the other ‘half-proof’ needed to consolidate and secure a conviction from the courts, neither are sufficient alone</w:t>
      </w:r>
      <w:r w:rsidR="00FD1E87" w:rsidRPr="00424846">
        <w:rPr>
          <w:rStyle w:val="FootnoteReference"/>
          <w:rFonts w:ascii="Arial" w:hAnsi="Arial" w:cs="Arial"/>
          <w:sz w:val="24"/>
          <w:szCs w:val="24"/>
        </w:rPr>
        <w:footnoteReference w:id="16"/>
      </w:r>
      <w:r w:rsidR="00FD1E87" w:rsidRPr="00424846">
        <w:rPr>
          <w:rFonts w:ascii="Arial" w:hAnsi="Arial" w:cs="Arial"/>
          <w:sz w:val="24"/>
          <w:szCs w:val="24"/>
        </w:rPr>
        <w:t xml:space="preserve">. </w:t>
      </w:r>
      <w:r w:rsidR="00CF124E" w:rsidRPr="00424846">
        <w:rPr>
          <w:rFonts w:ascii="Arial" w:hAnsi="Arial" w:cs="Arial"/>
          <w:sz w:val="24"/>
          <w:szCs w:val="24"/>
        </w:rPr>
        <w:t xml:space="preserve">In practice, if an eye-witness can account for the suspect committing the crime but the accused refuses to confess, the court </w:t>
      </w:r>
      <w:r w:rsidR="00E13245" w:rsidRPr="00424846">
        <w:rPr>
          <w:rFonts w:ascii="Arial" w:hAnsi="Arial" w:cs="Arial"/>
          <w:sz w:val="24"/>
          <w:szCs w:val="24"/>
        </w:rPr>
        <w:t xml:space="preserve">can </w:t>
      </w:r>
      <w:r w:rsidR="00CF124E" w:rsidRPr="00424846">
        <w:rPr>
          <w:rFonts w:ascii="Arial" w:hAnsi="Arial" w:cs="Arial"/>
          <w:sz w:val="24"/>
          <w:szCs w:val="24"/>
        </w:rPr>
        <w:t>issue a judicial torture warrant</w:t>
      </w:r>
      <w:r w:rsidR="00E13245" w:rsidRPr="00424846">
        <w:rPr>
          <w:rFonts w:ascii="Arial" w:hAnsi="Arial" w:cs="Arial"/>
          <w:sz w:val="24"/>
          <w:szCs w:val="24"/>
        </w:rPr>
        <w:t xml:space="preserve"> that</w:t>
      </w:r>
      <w:r w:rsidR="00F76ED0" w:rsidRPr="00424846">
        <w:rPr>
          <w:rFonts w:ascii="Arial" w:hAnsi="Arial" w:cs="Arial"/>
          <w:sz w:val="24"/>
          <w:szCs w:val="24"/>
        </w:rPr>
        <w:t xml:space="preserve"> allow</w:t>
      </w:r>
      <w:r w:rsidR="00E13245" w:rsidRPr="00424846">
        <w:rPr>
          <w:rFonts w:ascii="Arial" w:hAnsi="Arial" w:cs="Arial"/>
          <w:sz w:val="24"/>
          <w:szCs w:val="24"/>
        </w:rPr>
        <w:t>s</w:t>
      </w:r>
      <w:r w:rsidR="00F76ED0" w:rsidRPr="00424846">
        <w:rPr>
          <w:rFonts w:ascii="Arial" w:hAnsi="Arial" w:cs="Arial"/>
          <w:sz w:val="24"/>
          <w:szCs w:val="24"/>
        </w:rPr>
        <w:t xml:space="preserve"> the suspect to be interrogated under torture until they provide a confession that is consistent with the </w:t>
      </w:r>
      <w:r w:rsidR="00E13245" w:rsidRPr="00424846">
        <w:rPr>
          <w:rFonts w:ascii="Arial" w:hAnsi="Arial" w:cs="Arial"/>
          <w:sz w:val="24"/>
          <w:szCs w:val="24"/>
        </w:rPr>
        <w:t>corroborating evidence.</w:t>
      </w:r>
      <w:r w:rsidR="00F76ED0" w:rsidRPr="00424846">
        <w:rPr>
          <w:rFonts w:ascii="Arial" w:hAnsi="Arial" w:cs="Arial"/>
          <w:sz w:val="24"/>
          <w:szCs w:val="24"/>
        </w:rPr>
        <w:t xml:space="preserve"> Karras argues </w:t>
      </w:r>
      <w:r w:rsidR="001B02D0" w:rsidRPr="00424846">
        <w:rPr>
          <w:rFonts w:ascii="Arial" w:hAnsi="Arial" w:cs="Arial"/>
          <w:sz w:val="24"/>
          <w:szCs w:val="24"/>
        </w:rPr>
        <w:t xml:space="preserve">that the benefits of this legal method </w:t>
      </w:r>
      <w:proofErr w:type="gramStart"/>
      <w:r w:rsidR="001B02D0" w:rsidRPr="00424846">
        <w:rPr>
          <w:rFonts w:ascii="Arial" w:hAnsi="Arial" w:cs="Arial"/>
          <w:sz w:val="24"/>
          <w:szCs w:val="24"/>
        </w:rPr>
        <w:t>is</w:t>
      </w:r>
      <w:proofErr w:type="gramEnd"/>
      <w:r w:rsidR="001B02D0" w:rsidRPr="00424846">
        <w:rPr>
          <w:rFonts w:ascii="Arial" w:hAnsi="Arial" w:cs="Arial"/>
          <w:sz w:val="24"/>
          <w:szCs w:val="24"/>
        </w:rPr>
        <w:t xml:space="preserve"> the</w:t>
      </w:r>
      <w:r w:rsidR="00F76ED0" w:rsidRPr="00424846">
        <w:rPr>
          <w:rFonts w:ascii="Arial" w:hAnsi="Arial" w:cs="Arial"/>
          <w:sz w:val="24"/>
          <w:szCs w:val="24"/>
        </w:rPr>
        <w:t xml:space="preserve"> existence of a threshold requirement</w:t>
      </w:r>
      <w:r w:rsidR="001B02D0" w:rsidRPr="00424846">
        <w:rPr>
          <w:rFonts w:ascii="Arial" w:hAnsi="Arial" w:cs="Arial"/>
          <w:sz w:val="24"/>
          <w:szCs w:val="24"/>
        </w:rPr>
        <w:t>, resembling the rule of probable cause</w:t>
      </w:r>
      <w:r w:rsidR="00F76ED0" w:rsidRPr="00424846">
        <w:rPr>
          <w:rFonts w:ascii="Arial" w:hAnsi="Arial" w:cs="Arial"/>
          <w:sz w:val="24"/>
          <w:szCs w:val="24"/>
        </w:rPr>
        <w:t xml:space="preserve">, obligating the court to have at least </w:t>
      </w:r>
      <w:r w:rsidR="00E13245" w:rsidRPr="00424846">
        <w:rPr>
          <w:rFonts w:ascii="Arial" w:hAnsi="Arial" w:cs="Arial"/>
          <w:sz w:val="24"/>
          <w:szCs w:val="24"/>
        </w:rPr>
        <w:t xml:space="preserve">the </w:t>
      </w:r>
      <w:r w:rsidR="00F76ED0" w:rsidRPr="00424846">
        <w:rPr>
          <w:rFonts w:ascii="Arial" w:hAnsi="Arial" w:cs="Arial"/>
          <w:sz w:val="24"/>
          <w:szCs w:val="24"/>
        </w:rPr>
        <w:t xml:space="preserve">‘half-proof’ </w:t>
      </w:r>
      <w:r w:rsidR="00E13245" w:rsidRPr="00424846">
        <w:rPr>
          <w:rFonts w:ascii="Arial" w:hAnsi="Arial" w:cs="Arial"/>
          <w:sz w:val="24"/>
          <w:szCs w:val="24"/>
        </w:rPr>
        <w:t>(of an eyewitness testimony) before</w:t>
      </w:r>
      <w:r w:rsidR="00F76ED0" w:rsidRPr="00424846">
        <w:rPr>
          <w:rFonts w:ascii="Arial" w:hAnsi="Arial" w:cs="Arial"/>
          <w:sz w:val="24"/>
          <w:szCs w:val="24"/>
        </w:rPr>
        <w:t xml:space="preserve"> </w:t>
      </w:r>
      <w:r w:rsidR="00E13245" w:rsidRPr="00424846">
        <w:rPr>
          <w:rFonts w:ascii="Arial" w:hAnsi="Arial" w:cs="Arial"/>
          <w:sz w:val="24"/>
          <w:szCs w:val="24"/>
        </w:rPr>
        <w:t xml:space="preserve">resorting to </w:t>
      </w:r>
      <w:r w:rsidR="00F76ED0" w:rsidRPr="00424846">
        <w:rPr>
          <w:rFonts w:ascii="Arial" w:hAnsi="Arial" w:cs="Arial"/>
          <w:sz w:val="24"/>
          <w:szCs w:val="24"/>
        </w:rPr>
        <w:t>tortur</w:t>
      </w:r>
      <w:r w:rsidR="00E13245" w:rsidRPr="00424846">
        <w:rPr>
          <w:rFonts w:ascii="Arial" w:hAnsi="Arial" w:cs="Arial"/>
          <w:sz w:val="24"/>
          <w:szCs w:val="24"/>
        </w:rPr>
        <w:t>ing</w:t>
      </w:r>
      <w:r w:rsidR="00F76ED0" w:rsidRPr="00424846">
        <w:rPr>
          <w:rFonts w:ascii="Arial" w:hAnsi="Arial" w:cs="Arial"/>
          <w:sz w:val="24"/>
          <w:szCs w:val="24"/>
        </w:rPr>
        <w:t xml:space="preserve"> suspects</w:t>
      </w:r>
      <w:r w:rsidR="00E13245" w:rsidRPr="00424846">
        <w:rPr>
          <w:rFonts w:ascii="Arial" w:hAnsi="Arial" w:cs="Arial"/>
          <w:sz w:val="24"/>
          <w:szCs w:val="24"/>
        </w:rPr>
        <w:t>. T</w:t>
      </w:r>
      <w:r w:rsidR="001B02D0" w:rsidRPr="00424846">
        <w:rPr>
          <w:rFonts w:ascii="Arial" w:hAnsi="Arial" w:cs="Arial"/>
          <w:sz w:val="24"/>
          <w:szCs w:val="24"/>
        </w:rPr>
        <w:t xml:space="preserve">hus, preventing the possibility of innocent people </w:t>
      </w:r>
      <w:r w:rsidR="00E13245" w:rsidRPr="00424846">
        <w:rPr>
          <w:rFonts w:ascii="Arial" w:hAnsi="Arial" w:cs="Arial"/>
          <w:sz w:val="24"/>
          <w:szCs w:val="24"/>
        </w:rPr>
        <w:t xml:space="preserve">being tortured </w:t>
      </w:r>
      <w:r w:rsidR="001B02D0" w:rsidRPr="00424846">
        <w:rPr>
          <w:rFonts w:ascii="Arial" w:hAnsi="Arial" w:cs="Arial"/>
          <w:sz w:val="24"/>
          <w:szCs w:val="24"/>
        </w:rPr>
        <w:t>and</w:t>
      </w:r>
      <w:r w:rsidR="00E13245" w:rsidRPr="00424846">
        <w:rPr>
          <w:rFonts w:ascii="Arial" w:hAnsi="Arial" w:cs="Arial"/>
          <w:sz w:val="24"/>
          <w:szCs w:val="24"/>
        </w:rPr>
        <w:t>, allowing a mixture of evidence to support their conviction, as opposed to just their confession</w:t>
      </w:r>
      <w:r w:rsidR="00F91925" w:rsidRPr="00424846">
        <w:rPr>
          <w:rStyle w:val="FootnoteReference"/>
          <w:rFonts w:ascii="Arial" w:hAnsi="Arial" w:cs="Arial"/>
          <w:sz w:val="24"/>
          <w:szCs w:val="24"/>
        </w:rPr>
        <w:footnoteReference w:id="17"/>
      </w:r>
      <w:r w:rsidR="00F91925" w:rsidRPr="00424846">
        <w:rPr>
          <w:rFonts w:ascii="Arial" w:hAnsi="Arial" w:cs="Arial"/>
          <w:sz w:val="24"/>
          <w:szCs w:val="24"/>
        </w:rPr>
        <w:t xml:space="preserve">. </w:t>
      </w:r>
      <w:r w:rsidR="00FD1E87" w:rsidRPr="00424846">
        <w:rPr>
          <w:rFonts w:ascii="Arial" w:hAnsi="Arial" w:cs="Arial"/>
          <w:sz w:val="24"/>
          <w:szCs w:val="24"/>
        </w:rPr>
        <w:t xml:space="preserve">This provides </w:t>
      </w:r>
      <w:r w:rsidR="00F91925" w:rsidRPr="00424846">
        <w:rPr>
          <w:rFonts w:ascii="Arial" w:hAnsi="Arial" w:cs="Arial"/>
          <w:sz w:val="24"/>
          <w:szCs w:val="24"/>
        </w:rPr>
        <w:t>some</w:t>
      </w:r>
      <w:r w:rsidR="00FD1E87" w:rsidRPr="00424846">
        <w:rPr>
          <w:rFonts w:ascii="Arial" w:hAnsi="Arial" w:cs="Arial"/>
          <w:sz w:val="24"/>
          <w:szCs w:val="24"/>
        </w:rPr>
        <w:t xml:space="preserve"> semblance of boundaries that regulate </w:t>
      </w:r>
      <w:r w:rsidR="00F91925" w:rsidRPr="00424846">
        <w:rPr>
          <w:rFonts w:ascii="Arial" w:hAnsi="Arial" w:cs="Arial"/>
          <w:sz w:val="24"/>
          <w:szCs w:val="24"/>
        </w:rPr>
        <w:t xml:space="preserve">JT </w:t>
      </w:r>
      <w:r w:rsidR="00FD1E87" w:rsidRPr="00424846">
        <w:rPr>
          <w:rFonts w:ascii="Arial" w:hAnsi="Arial" w:cs="Arial"/>
          <w:sz w:val="24"/>
          <w:szCs w:val="24"/>
        </w:rPr>
        <w:t>in medieval law, so that it produces the best possible outcome</w:t>
      </w:r>
      <w:r w:rsidR="00E13245" w:rsidRPr="00424846">
        <w:rPr>
          <w:rFonts w:ascii="Arial" w:hAnsi="Arial" w:cs="Arial"/>
          <w:sz w:val="24"/>
          <w:szCs w:val="24"/>
        </w:rPr>
        <w:t xml:space="preserve">, </w:t>
      </w:r>
      <w:r w:rsidR="00FD1E87" w:rsidRPr="00424846">
        <w:rPr>
          <w:rFonts w:ascii="Arial" w:hAnsi="Arial" w:cs="Arial"/>
          <w:sz w:val="24"/>
          <w:szCs w:val="24"/>
        </w:rPr>
        <w:t xml:space="preserve">whilst protecting the rights of innocent civilians. </w:t>
      </w:r>
    </w:p>
    <w:p w14:paraId="0BE71085" w14:textId="509AB5E2" w:rsidR="00754606" w:rsidRPr="00424846" w:rsidRDefault="00FD1666" w:rsidP="00862139">
      <w:pPr>
        <w:spacing w:line="480" w:lineRule="auto"/>
        <w:jc w:val="both"/>
        <w:rPr>
          <w:rFonts w:ascii="Arial" w:hAnsi="Arial" w:cs="Arial"/>
          <w:sz w:val="24"/>
          <w:szCs w:val="24"/>
        </w:rPr>
      </w:pPr>
      <w:r w:rsidRPr="00424846">
        <w:rPr>
          <w:rFonts w:ascii="Arial" w:hAnsi="Arial" w:cs="Arial"/>
          <w:sz w:val="24"/>
          <w:szCs w:val="24"/>
        </w:rPr>
        <w:t xml:space="preserve">Webb argues in his book, </w:t>
      </w:r>
      <w:r w:rsidRPr="00424846">
        <w:rPr>
          <w:rFonts w:ascii="Arial" w:hAnsi="Arial" w:cs="Arial"/>
          <w:i/>
          <w:iCs/>
          <w:sz w:val="24"/>
          <w:szCs w:val="24"/>
        </w:rPr>
        <w:t>A History of Torture in Britain</w:t>
      </w:r>
      <w:r w:rsidR="009B1F38" w:rsidRPr="00424846">
        <w:rPr>
          <w:rStyle w:val="FootnoteReference"/>
          <w:rFonts w:ascii="Arial" w:hAnsi="Arial" w:cs="Arial"/>
          <w:sz w:val="24"/>
          <w:szCs w:val="24"/>
        </w:rPr>
        <w:footnoteReference w:id="18"/>
      </w:r>
      <w:r w:rsidRPr="00424846">
        <w:rPr>
          <w:rFonts w:ascii="Arial" w:hAnsi="Arial" w:cs="Arial"/>
          <w:sz w:val="24"/>
          <w:szCs w:val="24"/>
        </w:rPr>
        <w:t xml:space="preserve">, that this semblance of </w:t>
      </w:r>
      <w:r w:rsidR="00200F3F" w:rsidRPr="00424846">
        <w:rPr>
          <w:rFonts w:ascii="Arial" w:hAnsi="Arial" w:cs="Arial"/>
          <w:sz w:val="24"/>
          <w:szCs w:val="24"/>
        </w:rPr>
        <w:t xml:space="preserve">a </w:t>
      </w:r>
      <w:r w:rsidRPr="00424846">
        <w:rPr>
          <w:rFonts w:ascii="Arial" w:hAnsi="Arial" w:cs="Arial"/>
          <w:sz w:val="24"/>
          <w:szCs w:val="24"/>
        </w:rPr>
        <w:t>boundar</w:t>
      </w:r>
      <w:r w:rsidR="00200F3F" w:rsidRPr="00424846">
        <w:rPr>
          <w:rFonts w:ascii="Arial" w:hAnsi="Arial" w:cs="Arial"/>
          <w:sz w:val="24"/>
          <w:szCs w:val="24"/>
        </w:rPr>
        <w:t>y</w:t>
      </w:r>
      <w:r w:rsidRPr="00424846">
        <w:rPr>
          <w:rFonts w:ascii="Arial" w:hAnsi="Arial" w:cs="Arial"/>
          <w:sz w:val="24"/>
          <w:szCs w:val="24"/>
        </w:rPr>
        <w:t xml:space="preserve"> is, however, weakened by the prosecutorial nature of the Inquisitorial </w:t>
      </w:r>
      <w:r w:rsidRPr="00424846">
        <w:rPr>
          <w:rFonts w:ascii="Arial" w:hAnsi="Arial" w:cs="Arial"/>
          <w:sz w:val="24"/>
          <w:szCs w:val="24"/>
        </w:rPr>
        <w:lastRenderedPageBreak/>
        <w:t>procedure</w:t>
      </w:r>
      <w:r w:rsidR="00354B1E" w:rsidRPr="00424846">
        <w:rPr>
          <w:rFonts w:ascii="Arial" w:hAnsi="Arial" w:cs="Arial"/>
          <w:sz w:val="24"/>
          <w:szCs w:val="24"/>
        </w:rPr>
        <w:t xml:space="preserve">, </w:t>
      </w:r>
      <w:r w:rsidRPr="00424846">
        <w:rPr>
          <w:rFonts w:ascii="Arial" w:hAnsi="Arial" w:cs="Arial"/>
          <w:sz w:val="24"/>
          <w:szCs w:val="24"/>
        </w:rPr>
        <w:t xml:space="preserve">which </w:t>
      </w:r>
      <w:r w:rsidR="0078611A" w:rsidRPr="00424846">
        <w:rPr>
          <w:rFonts w:ascii="Arial" w:hAnsi="Arial" w:cs="Arial"/>
          <w:sz w:val="24"/>
          <w:szCs w:val="24"/>
        </w:rPr>
        <w:t>intrinsically</w:t>
      </w:r>
      <w:r w:rsidRPr="00424846">
        <w:rPr>
          <w:rFonts w:ascii="Arial" w:hAnsi="Arial" w:cs="Arial"/>
          <w:sz w:val="24"/>
          <w:szCs w:val="24"/>
        </w:rPr>
        <w:t xml:space="preserve"> had a </w:t>
      </w:r>
      <w:r w:rsidR="0078611A" w:rsidRPr="00424846">
        <w:rPr>
          <w:rFonts w:ascii="Arial" w:hAnsi="Arial" w:cs="Arial"/>
          <w:sz w:val="24"/>
          <w:szCs w:val="24"/>
        </w:rPr>
        <w:t>bias</w:t>
      </w:r>
      <w:r w:rsidR="00200F3F" w:rsidRPr="00424846">
        <w:rPr>
          <w:rFonts w:ascii="Arial" w:hAnsi="Arial" w:cs="Arial"/>
          <w:sz w:val="24"/>
          <w:szCs w:val="24"/>
        </w:rPr>
        <w:t xml:space="preserve"> in favour of prosecuting</w:t>
      </w:r>
      <w:r w:rsidR="00794A16" w:rsidRPr="00424846">
        <w:rPr>
          <w:rFonts w:ascii="Arial" w:hAnsi="Arial" w:cs="Arial"/>
          <w:sz w:val="24"/>
          <w:szCs w:val="24"/>
        </w:rPr>
        <w:t xml:space="preserve"> </w:t>
      </w:r>
      <w:r w:rsidR="007271EB" w:rsidRPr="00424846">
        <w:rPr>
          <w:rFonts w:ascii="Arial" w:hAnsi="Arial" w:cs="Arial"/>
          <w:sz w:val="24"/>
          <w:szCs w:val="24"/>
        </w:rPr>
        <w:t>that has</w:t>
      </w:r>
      <w:r w:rsidR="0078611A" w:rsidRPr="00424846">
        <w:rPr>
          <w:rFonts w:ascii="Arial" w:hAnsi="Arial" w:cs="Arial"/>
          <w:sz w:val="24"/>
          <w:szCs w:val="24"/>
        </w:rPr>
        <w:t xml:space="preserve"> led to the courts presum</w:t>
      </w:r>
      <w:r w:rsidR="00CD2738" w:rsidRPr="00424846">
        <w:rPr>
          <w:rFonts w:ascii="Arial" w:hAnsi="Arial" w:cs="Arial"/>
          <w:sz w:val="24"/>
          <w:szCs w:val="24"/>
        </w:rPr>
        <w:t>ing</w:t>
      </w:r>
      <w:r w:rsidR="0078611A" w:rsidRPr="00424846">
        <w:rPr>
          <w:rFonts w:ascii="Arial" w:hAnsi="Arial" w:cs="Arial"/>
          <w:sz w:val="24"/>
          <w:szCs w:val="24"/>
        </w:rPr>
        <w:t xml:space="preserve"> that</w:t>
      </w:r>
      <w:r w:rsidR="00861527" w:rsidRPr="00424846">
        <w:rPr>
          <w:rFonts w:ascii="Arial" w:hAnsi="Arial" w:cs="Arial"/>
          <w:sz w:val="24"/>
          <w:szCs w:val="24"/>
        </w:rPr>
        <w:t xml:space="preserve"> suspects were</w:t>
      </w:r>
      <w:r w:rsidR="0078611A" w:rsidRPr="00424846">
        <w:rPr>
          <w:rFonts w:ascii="Arial" w:hAnsi="Arial" w:cs="Arial"/>
          <w:sz w:val="24"/>
          <w:szCs w:val="24"/>
        </w:rPr>
        <w:t xml:space="preserve"> guilty until proven innocent, leading to many being wrongfully tortured, with no recompense</w:t>
      </w:r>
      <w:r w:rsidR="00794A16" w:rsidRPr="00424846">
        <w:rPr>
          <w:rFonts w:ascii="Arial" w:hAnsi="Arial" w:cs="Arial"/>
          <w:sz w:val="24"/>
          <w:szCs w:val="24"/>
        </w:rPr>
        <w:t>, as shown below</w:t>
      </w:r>
      <w:r w:rsidR="0078611A" w:rsidRPr="00424846">
        <w:rPr>
          <w:rFonts w:ascii="Arial" w:hAnsi="Arial" w:cs="Arial"/>
          <w:sz w:val="24"/>
          <w:szCs w:val="24"/>
        </w:rPr>
        <w:t xml:space="preserve">. </w:t>
      </w:r>
      <w:r w:rsidR="003E3A02" w:rsidRPr="00424846">
        <w:rPr>
          <w:rFonts w:ascii="Arial" w:hAnsi="Arial" w:cs="Arial"/>
          <w:sz w:val="24"/>
          <w:szCs w:val="24"/>
        </w:rPr>
        <w:t xml:space="preserve">Nevertheless, </w:t>
      </w:r>
      <w:r w:rsidR="00F6787A" w:rsidRPr="00424846">
        <w:rPr>
          <w:rFonts w:ascii="Arial" w:hAnsi="Arial" w:cs="Arial"/>
          <w:sz w:val="24"/>
          <w:szCs w:val="24"/>
        </w:rPr>
        <w:t>contrary to the common belief that JT was lawlessly applied, there were parameters placed around the use of torture</w:t>
      </w:r>
      <w:r w:rsidR="00700B84" w:rsidRPr="00424846">
        <w:rPr>
          <w:rFonts w:ascii="Arial" w:hAnsi="Arial" w:cs="Arial"/>
          <w:sz w:val="24"/>
          <w:szCs w:val="24"/>
        </w:rPr>
        <w:t xml:space="preserve">, for example, that ‘it should not cause loss of life or limb, it should only be used </w:t>
      </w:r>
      <w:r w:rsidR="00200F3F" w:rsidRPr="00424846">
        <w:rPr>
          <w:rFonts w:ascii="Arial" w:hAnsi="Arial" w:cs="Arial"/>
          <w:sz w:val="24"/>
          <w:szCs w:val="24"/>
        </w:rPr>
        <w:t>‘</w:t>
      </w:r>
      <w:r w:rsidR="00700B84" w:rsidRPr="00424846">
        <w:rPr>
          <w:rFonts w:ascii="Arial" w:hAnsi="Arial" w:cs="Arial"/>
          <w:sz w:val="24"/>
          <w:szCs w:val="24"/>
        </w:rPr>
        <w:t>once</w:t>
      </w:r>
      <w:r w:rsidR="00731B25" w:rsidRPr="00424846">
        <w:rPr>
          <w:rFonts w:ascii="Arial" w:hAnsi="Arial" w:cs="Arial"/>
          <w:sz w:val="24"/>
          <w:szCs w:val="24"/>
        </w:rPr>
        <w:t xml:space="preserve"> and as a last resort</w:t>
      </w:r>
      <w:r w:rsidR="00700B84" w:rsidRPr="00424846">
        <w:rPr>
          <w:rFonts w:ascii="Arial" w:hAnsi="Arial" w:cs="Arial"/>
          <w:sz w:val="24"/>
          <w:szCs w:val="24"/>
        </w:rPr>
        <w:t>’</w:t>
      </w:r>
      <w:r w:rsidR="009B1F38" w:rsidRPr="00424846">
        <w:rPr>
          <w:rStyle w:val="FootnoteReference"/>
          <w:rFonts w:ascii="Arial" w:hAnsi="Arial" w:cs="Arial"/>
          <w:sz w:val="24"/>
          <w:szCs w:val="24"/>
        </w:rPr>
        <w:footnoteReference w:id="19"/>
      </w:r>
      <w:r w:rsidR="00731B25" w:rsidRPr="00424846">
        <w:rPr>
          <w:rFonts w:ascii="Arial" w:hAnsi="Arial" w:cs="Arial"/>
          <w:sz w:val="24"/>
          <w:szCs w:val="24"/>
        </w:rPr>
        <w:t xml:space="preserve">, </w:t>
      </w:r>
      <w:r w:rsidR="00700B84" w:rsidRPr="00424846">
        <w:rPr>
          <w:rFonts w:ascii="Arial" w:hAnsi="Arial" w:cs="Arial"/>
          <w:sz w:val="24"/>
          <w:szCs w:val="24"/>
        </w:rPr>
        <w:t xml:space="preserve">the court must </w:t>
      </w:r>
      <w:r w:rsidR="00731B25" w:rsidRPr="00424846">
        <w:rPr>
          <w:rFonts w:ascii="Arial" w:hAnsi="Arial" w:cs="Arial"/>
          <w:sz w:val="24"/>
          <w:szCs w:val="24"/>
        </w:rPr>
        <w:t xml:space="preserve">first </w:t>
      </w:r>
      <w:r w:rsidR="00700B84" w:rsidRPr="00424846">
        <w:rPr>
          <w:rFonts w:ascii="Arial" w:hAnsi="Arial" w:cs="Arial"/>
          <w:sz w:val="24"/>
          <w:szCs w:val="24"/>
        </w:rPr>
        <w:t xml:space="preserve">consider the </w:t>
      </w:r>
      <w:r w:rsidR="00754606" w:rsidRPr="00424846">
        <w:rPr>
          <w:rFonts w:ascii="Arial" w:hAnsi="Arial" w:cs="Arial"/>
          <w:sz w:val="24"/>
          <w:szCs w:val="24"/>
        </w:rPr>
        <w:t xml:space="preserve">corroborating </w:t>
      </w:r>
      <w:r w:rsidR="00700B84" w:rsidRPr="00424846">
        <w:rPr>
          <w:rFonts w:ascii="Arial" w:hAnsi="Arial" w:cs="Arial"/>
          <w:sz w:val="24"/>
          <w:szCs w:val="24"/>
        </w:rPr>
        <w:t xml:space="preserve">evidence to be </w:t>
      </w:r>
      <w:r w:rsidR="00754606" w:rsidRPr="00424846">
        <w:rPr>
          <w:rFonts w:ascii="Arial" w:hAnsi="Arial" w:cs="Arial"/>
          <w:sz w:val="24"/>
          <w:szCs w:val="24"/>
        </w:rPr>
        <w:t>‘</w:t>
      </w:r>
      <w:r w:rsidR="00700B84" w:rsidRPr="00424846">
        <w:rPr>
          <w:rFonts w:ascii="Arial" w:hAnsi="Arial" w:cs="Arial"/>
          <w:sz w:val="24"/>
          <w:szCs w:val="24"/>
        </w:rPr>
        <w:t>virtually certain that he committed the crime</w:t>
      </w:r>
      <w:r w:rsidR="00754606" w:rsidRPr="00424846">
        <w:rPr>
          <w:rFonts w:ascii="Arial" w:hAnsi="Arial" w:cs="Arial"/>
          <w:sz w:val="24"/>
          <w:szCs w:val="24"/>
        </w:rPr>
        <w:t>’</w:t>
      </w:r>
      <w:r w:rsidR="00700B84" w:rsidRPr="00424846">
        <w:rPr>
          <w:rStyle w:val="FootnoteReference"/>
          <w:rFonts w:ascii="Arial" w:hAnsi="Arial" w:cs="Arial"/>
          <w:sz w:val="24"/>
          <w:szCs w:val="24"/>
        </w:rPr>
        <w:footnoteReference w:id="20"/>
      </w:r>
      <w:r w:rsidR="00731B25" w:rsidRPr="00424846">
        <w:rPr>
          <w:rFonts w:ascii="Arial" w:hAnsi="Arial" w:cs="Arial"/>
          <w:sz w:val="24"/>
          <w:szCs w:val="24"/>
        </w:rPr>
        <w:t xml:space="preserve"> before torturing</w:t>
      </w:r>
      <w:r w:rsidR="00794A16" w:rsidRPr="00424846">
        <w:rPr>
          <w:rFonts w:ascii="Arial" w:hAnsi="Arial" w:cs="Arial"/>
          <w:sz w:val="24"/>
          <w:szCs w:val="24"/>
        </w:rPr>
        <w:t xml:space="preserve"> him</w:t>
      </w:r>
      <w:r w:rsidR="00754606" w:rsidRPr="00424846">
        <w:rPr>
          <w:rFonts w:ascii="Arial" w:hAnsi="Arial" w:cs="Arial"/>
          <w:sz w:val="24"/>
          <w:szCs w:val="24"/>
        </w:rPr>
        <w:t xml:space="preserve">, </w:t>
      </w:r>
      <w:r w:rsidR="00731B25" w:rsidRPr="00424846">
        <w:rPr>
          <w:rFonts w:ascii="Arial" w:hAnsi="Arial" w:cs="Arial"/>
          <w:sz w:val="24"/>
          <w:szCs w:val="24"/>
        </w:rPr>
        <w:t xml:space="preserve">the court must </w:t>
      </w:r>
      <w:r w:rsidR="00794A16" w:rsidRPr="00424846">
        <w:rPr>
          <w:rFonts w:ascii="Arial" w:hAnsi="Arial" w:cs="Arial"/>
          <w:sz w:val="24"/>
          <w:szCs w:val="24"/>
        </w:rPr>
        <w:t xml:space="preserve">also </w:t>
      </w:r>
      <w:r w:rsidR="00731B25" w:rsidRPr="00424846">
        <w:rPr>
          <w:rFonts w:ascii="Arial" w:hAnsi="Arial" w:cs="Arial"/>
          <w:sz w:val="24"/>
          <w:szCs w:val="24"/>
        </w:rPr>
        <w:t>determine that a crime had been committed first (referred to as inquisition generalis</w:t>
      </w:r>
      <w:r w:rsidR="00C305F0" w:rsidRPr="00424846">
        <w:rPr>
          <w:rStyle w:val="FootnoteReference"/>
          <w:rFonts w:ascii="Arial" w:hAnsi="Arial" w:cs="Arial"/>
          <w:sz w:val="24"/>
          <w:szCs w:val="24"/>
        </w:rPr>
        <w:footnoteReference w:id="21"/>
      </w:r>
      <w:r w:rsidR="00731B25" w:rsidRPr="00424846">
        <w:rPr>
          <w:rFonts w:ascii="Arial" w:hAnsi="Arial" w:cs="Arial"/>
          <w:sz w:val="24"/>
          <w:szCs w:val="24"/>
        </w:rPr>
        <w:t xml:space="preserve">) for the purpose of safeguarding the accused, </w:t>
      </w:r>
      <w:r w:rsidR="00754606" w:rsidRPr="00424846">
        <w:rPr>
          <w:rFonts w:ascii="Arial" w:hAnsi="Arial" w:cs="Arial"/>
          <w:sz w:val="24"/>
          <w:szCs w:val="24"/>
        </w:rPr>
        <w:t xml:space="preserve">suggestive questioning is strictly forbidden, torture is only applied to cases of capital crime, </w:t>
      </w:r>
      <w:r w:rsidR="00731B25" w:rsidRPr="00424846">
        <w:rPr>
          <w:rFonts w:ascii="Arial" w:hAnsi="Arial" w:cs="Arial"/>
          <w:sz w:val="24"/>
          <w:szCs w:val="24"/>
        </w:rPr>
        <w:t>a threat of torture needs to be made</w:t>
      </w:r>
      <w:r w:rsidR="00794A16" w:rsidRPr="00424846">
        <w:rPr>
          <w:rFonts w:ascii="Arial" w:hAnsi="Arial" w:cs="Arial"/>
          <w:sz w:val="24"/>
          <w:szCs w:val="24"/>
        </w:rPr>
        <w:t xml:space="preserve"> </w:t>
      </w:r>
      <w:r w:rsidR="00731B25" w:rsidRPr="00424846">
        <w:rPr>
          <w:rFonts w:ascii="Arial" w:hAnsi="Arial" w:cs="Arial"/>
          <w:sz w:val="24"/>
          <w:szCs w:val="24"/>
        </w:rPr>
        <w:t>first</w:t>
      </w:r>
      <w:r w:rsidR="00794A16" w:rsidRPr="00424846">
        <w:rPr>
          <w:rFonts w:ascii="Arial" w:hAnsi="Arial" w:cs="Arial"/>
          <w:sz w:val="24"/>
          <w:szCs w:val="24"/>
        </w:rPr>
        <w:t xml:space="preserve">, </w:t>
      </w:r>
      <w:r w:rsidR="00731B25" w:rsidRPr="00424846">
        <w:rPr>
          <w:rFonts w:ascii="Arial" w:hAnsi="Arial" w:cs="Arial"/>
          <w:sz w:val="24"/>
          <w:szCs w:val="24"/>
        </w:rPr>
        <w:t xml:space="preserve">before carrying out the act and lastly, exempting the old and vulnerable from torture. </w:t>
      </w:r>
    </w:p>
    <w:p w14:paraId="2A80047C" w14:textId="05D05363" w:rsidR="000C5978" w:rsidRPr="00424846" w:rsidRDefault="00A22A91" w:rsidP="00862139">
      <w:pPr>
        <w:spacing w:line="480" w:lineRule="auto"/>
        <w:jc w:val="both"/>
        <w:rPr>
          <w:rFonts w:ascii="Arial" w:hAnsi="Arial" w:cs="Arial"/>
          <w:sz w:val="24"/>
          <w:szCs w:val="24"/>
        </w:rPr>
      </w:pPr>
      <w:r w:rsidRPr="00424846">
        <w:rPr>
          <w:rFonts w:ascii="Arial" w:hAnsi="Arial" w:cs="Arial"/>
          <w:sz w:val="24"/>
          <w:szCs w:val="24"/>
        </w:rPr>
        <w:t xml:space="preserve">Scott </w:t>
      </w:r>
      <w:r w:rsidR="000C5978" w:rsidRPr="00424846">
        <w:rPr>
          <w:rFonts w:ascii="Arial" w:hAnsi="Arial" w:cs="Arial"/>
          <w:sz w:val="24"/>
          <w:szCs w:val="24"/>
        </w:rPr>
        <w:t>cites some advantages to</w:t>
      </w:r>
      <w:r w:rsidRPr="00424846">
        <w:rPr>
          <w:rFonts w:ascii="Arial" w:hAnsi="Arial" w:cs="Arial"/>
          <w:sz w:val="24"/>
          <w:szCs w:val="24"/>
        </w:rPr>
        <w:t xml:space="preserve"> these parameters, </w:t>
      </w:r>
      <w:r w:rsidR="00200F3F" w:rsidRPr="00424846">
        <w:rPr>
          <w:rFonts w:ascii="Arial" w:hAnsi="Arial" w:cs="Arial"/>
          <w:sz w:val="24"/>
          <w:szCs w:val="24"/>
        </w:rPr>
        <w:t xml:space="preserve">firstly, </w:t>
      </w:r>
      <w:r w:rsidRPr="00424846">
        <w:rPr>
          <w:rFonts w:ascii="Arial" w:hAnsi="Arial" w:cs="Arial"/>
          <w:sz w:val="24"/>
          <w:szCs w:val="24"/>
        </w:rPr>
        <w:t>that the prohibition of suggestive questioning means that suspect</w:t>
      </w:r>
      <w:r w:rsidR="000C5978" w:rsidRPr="00424846">
        <w:rPr>
          <w:rFonts w:ascii="Arial" w:hAnsi="Arial" w:cs="Arial"/>
          <w:sz w:val="24"/>
          <w:szCs w:val="24"/>
        </w:rPr>
        <w:t>s</w:t>
      </w:r>
      <w:r w:rsidRPr="00424846">
        <w:rPr>
          <w:rFonts w:ascii="Arial" w:hAnsi="Arial" w:cs="Arial"/>
          <w:sz w:val="24"/>
          <w:szCs w:val="24"/>
        </w:rPr>
        <w:t xml:space="preserve"> </w:t>
      </w:r>
      <w:r w:rsidR="000C5978" w:rsidRPr="00424846">
        <w:rPr>
          <w:rFonts w:ascii="Arial" w:hAnsi="Arial" w:cs="Arial"/>
          <w:sz w:val="24"/>
          <w:szCs w:val="24"/>
        </w:rPr>
        <w:t>need</w:t>
      </w:r>
      <w:r w:rsidRPr="00424846">
        <w:rPr>
          <w:rFonts w:ascii="Arial" w:hAnsi="Arial" w:cs="Arial"/>
          <w:sz w:val="24"/>
          <w:szCs w:val="24"/>
        </w:rPr>
        <w:t xml:space="preserve"> to rely on their own recollection of the crime, indicating that they must have played a significant part in committing the crime</w:t>
      </w:r>
      <w:r w:rsidR="000C5978" w:rsidRPr="00424846">
        <w:rPr>
          <w:rFonts w:ascii="Arial" w:hAnsi="Arial" w:cs="Arial"/>
          <w:sz w:val="24"/>
          <w:szCs w:val="24"/>
        </w:rPr>
        <w:t xml:space="preserve"> to recall it so </w:t>
      </w:r>
      <w:r w:rsidR="00200F3F" w:rsidRPr="00424846">
        <w:rPr>
          <w:rFonts w:ascii="Arial" w:hAnsi="Arial" w:cs="Arial"/>
          <w:sz w:val="24"/>
          <w:szCs w:val="24"/>
        </w:rPr>
        <w:t>precisely</w:t>
      </w:r>
      <w:r w:rsidR="000C1EE2" w:rsidRPr="00424846">
        <w:rPr>
          <w:rFonts w:ascii="Arial" w:hAnsi="Arial" w:cs="Arial"/>
          <w:sz w:val="24"/>
          <w:szCs w:val="24"/>
        </w:rPr>
        <w:t>. S</w:t>
      </w:r>
      <w:r w:rsidR="00200F3F" w:rsidRPr="00424846">
        <w:rPr>
          <w:rFonts w:ascii="Arial" w:hAnsi="Arial" w:cs="Arial"/>
          <w:sz w:val="24"/>
          <w:szCs w:val="24"/>
        </w:rPr>
        <w:t>econdly,</w:t>
      </w:r>
      <w:r w:rsidR="00455CD8" w:rsidRPr="00424846">
        <w:rPr>
          <w:rFonts w:ascii="Arial" w:hAnsi="Arial" w:cs="Arial"/>
          <w:sz w:val="24"/>
          <w:szCs w:val="24"/>
        </w:rPr>
        <w:t xml:space="preserve"> the courts must determine that a crime was committed </w:t>
      </w:r>
      <w:r w:rsidR="00200F3F" w:rsidRPr="00424846">
        <w:rPr>
          <w:rFonts w:ascii="Arial" w:hAnsi="Arial" w:cs="Arial"/>
          <w:sz w:val="24"/>
          <w:szCs w:val="24"/>
        </w:rPr>
        <w:t xml:space="preserve">and review all corroborating evidence </w:t>
      </w:r>
      <w:r w:rsidR="00455CD8" w:rsidRPr="00424846">
        <w:rPr>
          <w:rFonts w:ascii="Arial" w:hAnsi="Arial" w:cs="Arial"/>
          <w:sz w:val="24"/>
          <w:szCs w:val="24"/>
        </w:rPr>
        <w:t>,</w:t>
      </w:r>
      <w:r w:rsidR="000C1EE2" w:rsidRPr="00424846">
        <w:rPr>
          <w:rFonts w:ascii="Arial" w:hAnsi="Arial" w:cs="Arial"/>
          <w:sz w:val="24"/>
          <w:szCs w:val="24"/>
        </w:rPr>
        <w:t xml:space="preserve"> and lastly,</w:t>
      </w:r>
      <w:r w:rsidR="00455CD8" w:rsidRPr="00424846">
        <w:rPr>
          <w:rFonts w:ascii="Arial" w:hAnsi="Arial" w:cs="Arial"/>
          <w:sz w:val="24"/>
          <w:szCs w:val="24"/>
        </w:rPr>
        <w:t xml:space="preserve"> the threshold requirement</w:t>
      </w:r>
      <w:r w:rsidR="000C5978" w:rsidRPr="00424846">
        <w:rPr>
          <w:rFonts w:ascii="Arial" w:hAnsi="Arial" w:cs="Arial"/>
          <w:sz w:val="24"/>
          <w:szCs w:val="24"/>
        </w:rPr>
        <w:t xml:space="preserve">, </w:t>
      </w:r>
      <w:r w:rsidR="00455CD8" w:rsidRPr="00424846">
        <w:rPr>
          <w:rFonts w:ascii="Arial" w:hAnsi="Arial" w:cs="Arial"/>
          <w:sz w:val="24"/>
          <w:szCs w:val="24"/>
        </w:rPr>
        <w:t>which must prove virtual certainty of their guilt</w:t>
      </w:r>
      <w:r w:rsidR="00C26750" w:rsidRPr="00424846">
        <w:rPr>
          <w:rStyle w:val="FootnoteReference"/>
          <w:rFonts w:ascii="Arial" w:hAnsi="Arial" w:cs="Arial"/>
          <w:sz w:val="24"/>
          <w:szCs w:val="24"/>
        </w:rPr>
        <w:footnoteReference w:id="22"/>
      </w:r>
      <w:r w:rsidR="00455CD8" w:rsidRPr="00424846">
        <w:rPr>
          <w:rFonts w:ascii="Arial" w:hAnsi="Arial" w:cs="Arial"/>
          <w:sz w:val="24"/>
          <w:szCs w:val="24"/>
        </w:rPr>
        <w:t xml:space="preserve">, </w:t>
      </w:r>
      <w:r w:rsidR="000C1EE2" w:rsidRPr="00424846">
        <w:rPr>
          <w:rFonts w:ascii="Arial" w:hAnsi="Arial" w:cs="Arial"/>
          <w:sz w:val="24"/>
          <w:szCs w:val="24"/>
        </w:rPr>
        <w:t>all resulting in a set of</w:t>
      </w:r>
      <w:r w:rsidR="00455CD8" w:rsidRPr="00424846">
        <w:rPr>
          <w:rFonts w:ascii="Arial" w:hAnsi="Arial" w:cs="Arial"/>
          <w:sz w:val="24"/>
          <w:szCs w:val="24"/>
        </w:rPr>
        <w:t xml:space="preserve"> stringent rules and guidelines to protect the integrity of evidential law by ensuring that the means </w:t>
      </w:r>
      <w:r w:rsidR="001D37D9" w:rsidRPr="00424846">
        <w:rPr>
          <w:rFonts w:ascii="Arial" w:hAnsi="Arial" w:cs="Arial"/>
          <w:sz w:val="24"/>
          <w:szCs w:val="24"/>
        </w:rPr>
        <w:t>of</w:t>
      </w:r>
      <w:r w:rsidR="00455CD8" w:rsidRPr="00424846">
        <w:rPr>
          <w:rFonts w:ascii="Arial" w:hAnsi="Arial" w:cs="Arial"/>
          <w:sz w:val="24"/>
          <w:szCs w:val="24"/>
        </w:rPr>
        <w:t xml:space="preserve"> obtain information is reliable and, ultimately, </w:t>
      </w:r>
      <w:r w:rsidR="004D4751" w:rsidRPr="00424846">
        <w:rPr>
          <w:rFonts w:ascii="Arial" w:hAnsi="Arial" w:cs="Arial"/>
          <w:sz w:val="24"/>
          <w:szCs w:val="24"/>
        </w:rPr>
        <w:t xml:space="preserve">can </w:t>
      </w:r>
      <w:r w:rsidR="000C5978" w:rsidRPr="00424846">
        <w:rPr>
          <w:rFonts w:ascii="Arial" w:hAnsi="Arial" w:cs="Arial"/>
          <w:sz w:val="24"/>
          <w:szCs w:val="24"/>
        </w:rPr>
        <w:t xml:space="preserve">aid the court in </w:t>
      </w:r>
      <w:r w:rsidR="00455CD8" w:rsidRPr="00424846">
        <w:rPr>
          <w:rFonts w:ascii="Arial" w:hAnsi="Arial" w:cs="Arial"/>
          <w:sz w:val="24"/>
          <w:szCs w:val="24"/>
        </w:rPr>
        <w:t>protect</w:t>
      </w:r>
      <w:r w:rsidR="004D4751" w:rsidRPr="00424846">
        <w:rPr>
          <w:rFonts w:ascii="Arial" w:hAnsi="Arial" w:cs="Arial"/>
          <w:sz w:val="24"/>
          <w:szCs w:val="24"/>
        </w:rPr>
        <w:t>ing</w:t>
      </w:r>
      <w:r w:rsidR="00455CD8" w:rsidRPr="00424846">
        <w:rPr>
          <w:rFonts w:ascii="Arial" w:hAnsi="Arial" w:cs="Arial"/>
          <w:sz w:val="24"/>
          <w:szCs w:val="24"/>
        </w:rPr>
        <w:t xml:space="preserve"> the innocent and </w:t>
      </w:r>
      <w:r w:rsidR="000C5978" w:rsidRPr="00424846">
        <w:rPr>
          <w:rFonts w:ascii="Arial" w:hAnsi="Arial" w:cs="Arial"/>
          <w:sz w:val="24"/>
          <w:szCs w:val="24"/>
        </w:rPr>
        <w:t>punishing</w:t>
      </w:r>
      <w:r w:rsidR="00455CD8" w:rsidRPr="00424846">
        <w:rPr>
          <w:rFonts w:ascii="Arial" w:hAnsi="Arial" w:cs="Arial"/>
          <w:sz w:val="24"/>
          <w:szCs w:val="24"/>
        </w:rPr>
        <w:t xml:space="preserve"> </w:t>
      </w:r>
      <w:r w:rsidR="001D37D9" w:rsidRPr="00424846">
        <w:rPr>
          <w:rFonts w:ascii="Arial" w:hAnsi="Arial" w:cs="Arial"/>
          <w:sz w:val="24"/>
          <w:szCs w:val="24"/>
        </w:rPr>
        <w:t xml:space="preserve">the </w:t>
      </w:r>
      <w:r w:rsidR="00455CD8" w:rsidRPr="00424846">
        <w:rPr>
          <w:rFonts w:ascii="Arial" w:hAnsi="Arial" w:cs="Arial"/>
          <w:sz w:val="24"/>
          <w:szCs w:val="24"/>
        </w:rPr>
        <w:t>guilty</w:t>
      </w:r>
      <w:r w:rsidR="001D37D9" w:rsidRPr="00424846">
        <w:rPr>
          <w:rFonts w:ascii="Arial" w:hAnsi="Arial" w:cs="Arial"/>
          <w:sz w:val="24"/>
          <w:szCs w:val="24"/>
        </w:rPr>
        <w:t>.</w:t>
      </w:r>
      <w:r w:rsidR="00455CD8" w:rsidRPr="00424846">
        <w:rPr>
          <w:rFonts w:ascii="Arial" w:hAnsi="Arial" w:cs="Arial"/>
          <w:sz w:val="24"/>
          <w:szCs w:val="24"/>
        </w:rPr>
        <w:t xml:space="preserve"> </w:t>
      </w:r>
    </w:p>
    <w:p w14:paraId="241E1954" w14:textId="471A37EE" w:rsidR="001F38B9" w:rsidRPr="00424846" w:rsidRDefault="004D4751" w:rsidP="00862139">
      <w:pPr>
        <w:spacing w:line="480" w:lineRule="auto"/>
        <w:jc w:val="both"/>
        <w:rPr>
          <w:rFonts w:ascii="Arial" w:hAnsi="Arial" w:cs="Arial"/>
          <w:sz w:val="24"/>
          <w:szCs w:val="24"/>
        </w:rPr>
      </w:pPr>
      <w:r w:rsidRPr="00424846">
        <w:rPr>
          <w:rFonts w:ascii="Arial" w:hAnsi="Arial" w:cs="Arial"/>
          <w:sz w:val="24"/>
          <w:szCs w:val="24"/>
        </w:rPr>
        <w:lastRenderedPageBreak/>
        <w:t>Additionally, t</w:t>
      </w:r>
      <w:r w:rsidR="00E86FC4" w:rsidRPr="00424846">
        <w:rPr>
          <w:rFonts w:ascii="Arial" w:hAnsi="Arial" w:cs="Arial"/>
          <w:sz w:val="24"/>
          <w:szCs w:val="24"/>
        </w:rPr>
        <w:t xml:space="preserve">he </w:t>
      </w:r>
      <w:r w:rsidR="002A2196" w:rsidRPr="00424846">
        <w:rPr>
          <w:rFonts w:ascii="Arial" w:hAnsi="Arial" w:cs="Arial"/>
          <w:sz w:val="24"/>
          <w:szCs w:val="24"/>
        </w:rPr>
        <w:t xml:space="preserve">highly publicized </w:t>
      </w:r>
      <w:r w:rsidR="00E86FC4" w:rsidRPr="00424846">
        <w:rPr>
          <w:rFonts w:ascii="Arial" w:hAnsi="Arial" w:cs="Arial"/>
          <w:sz w:val="24"/>
          <w:szCs w:val="24"/>
        </w:rPr>
        <w:t xml:space="preserve">McMartin </w:t>
      </w:r>
      <w:r w:rsidR="000C5978" w:rsidRPr="00424846">
        <w:rPr>
          <w:rFonts w:ascii="Arial" w:hAnsi="Arial" w:cs="Arial"/>
          <w:sz w:val="24"/>
          <w:szCs w:val="24"/>
        </w:rPr>
        <w:t>case</w:t>
      </w:r>
      <w:r w:rsidR="00EB35A0" w:rsidRPr="00424846">
        <w:rPr>
          <w:rStyle w:val="FootnoteReference"/>
          <w:rFonts w:ascii="Arial" w:hAnsi="Arial" w:cs="Arial"/>
          <w:sz w:val="24"/>
          <w:szCs w:val="24"/>
        </w:rPr>
        <w:footnoteReference w:id="23"/>
      </w:r>
      <w:r w:rsidR="000C5978" w:rsidRPr="00424846">
        <w:rPr>
          <w:rFonts w:ascii="Arial" w:hAnsi="Arial" w:cs="Arial"/>
          <w:sz w:val="24"/>
          <w:szCs w:val="24"/>
        </w:rPr>
        <w:t xml:space="preserve"> </w:t>
      </w:r>
      <w:r w:rsidR="00E86FC4" w:rsidRPr="00424846">
        <w:rPr>
          <w:rFonts w:ascii="Arial" w:hAnsi="Arial" w:cs="Arial"/>
          <w:sz w:val="24"/>
          <w:szCs w:val="24"/>
        </w:rPr>
        <w:t xml:space="preserve">indicates </w:t>
      </w:r>
      <w:r w:rsidRPr="00424846">
        <w:rPr>
          <w:rFonts w:ascii="Arial" w:hAnsi="Arial" w:cs="Arial"/>
          <w:sz w:val="24"/>
          <w:szCs w:val="24"/>
        </w:rPr>
        <w:t xml:space="preserve">that interrogations under JT could provide more precise and accurate information than some interrogations conducted by police officials in current cases. The </w:t>
      </w:r>
      <w:r w:rsidR="00C12447" w:rsidRPr="00424846">
        <w:rPr>
          <w:rFonts w:ascii="Arial" w:hAnsi="Arial" w:cs="Arial"/>
          <w:sz w:val="24"/>
          <w:szCs w:val="24"/>
        </w:rPr>
        <w:t xml:space="preserve">McMartin </w:t>
      </w:r>
      <w:r w:rsidRPr="00424846">
        <w:rPr>
          <w:rFonts w:ascii="Arial" w:hAnsi="Arial" w:cs="Arial"/>
          <w:sz w:val="24"/>
          <w:szCs w:val="24"/>
        </w:rPr>
        <w:t xml:space="preserve">case investigated accusations of sexual assault and rape of children in preschools around </w:t>
      </w:r>
      <w:r w:rsidR="000C1EE2" w:rsidRPr="00424846">
        <w:rPr>
          <w:rFonts w:ascii="Arial" w:hAnsi="Arial" w:cs="Arial"/>
          <w:sz w:val="24"/>
          <w:szCs w:val="24"/>
        </w:rPr>
        <w:t>America</w:t>
      </w:r>
      <w:r w:rsidRPr="00424846">
        <w:rPr>
          <w:rFonts w:ascii="Arial" w:hAnsi="Arial" w:cs="Arial"/>
          <w:sz w:val="24"/>
          <w:szCs w:val="24"/>
        </w:rPr>
        <w:t>, however, since police interrogations were riddled with extreme suggestive questioning, positive reinforcement if the children corroborated the police’s story and feeding the answers to the children before interrogation questioning began, it led to multiple false accusations being made</w:t>
      </w:r>
      <w:r w:rsidR="005B63FC" w:rsidRPr="00424846">
        <w:rPr>
          <w:rFonts w:ascii="Arial" w:hAnsi="Arial" w:cs="Arial"/>
          <w:sz w:val="24"/>
          <w:szCs w:val="24"/>
        </w:rPr>
        <w:t xml:space="preserve"> and no convictions</w:t>
      </w:r>
      <w:r w:rsidR="00EB35A0" w:rsidRPr="00424846">
        <w:rPr>
          <w:rStyle w:val="FootnoteReference"/>
          <w:rFonts w:ascii="Arial" w:hAnsi="Arial" w:cs="Arial"/>
          <w:sz w:val="24"/>
          <w:szCs w:val="24"/>
        </w:rPr>
        <w:footnoteReference w:id="24"/>
      </w:r>
      <w:r w:rsidR="005B63FC" w:rsidRPr="00424846">
        <w:rPr>
          <w:rFonts w:ascii="Arial" w:hAnsi="Arial" w:cs="Arial"/>
          <w:sz w:val="24"/>
          <w:szCs w:val="24"/>
        </w:rPr>
        <w:t xml:space="preserve">. </w:t>
      </w:r>
      <w:r w:rsidR="000C5978" w:rsidRPr="00424846">
        <w:rPr>
          <w:rFonts w:ascii="Arial" w:hAnsi="Arial" w:cs="Arial"/>
          <w:sz w:val="24"/>
          <w:szCs w:val="24"/>
        </w:rPr>
        <w:t>S</w:t>
      </w:r>
      <w:r w:rsidR="002A2196" w:rsidRPr="00424846">
        <w:rPr>
          <w:rFonts w:ascii="Arial" w:hAnsi="Arial" w:cs="Arial"/>
          <w:sz w:val="24"/>
          <w:szCs w:val="24"/>
        </w:rPr>
        <w:t>uggesting</w:t>
      </w:r>
      <w:r w:rsidR="000C5978" w:rsidRPr="00424846">
        <w:rPr>
          <w:rFonts w:ascii="Arial" w:hAnsi="Arial" w:cs="Arial"/>
          <w:sz w:val="24"/>
          <w:szCs w:val="24"/>
        </w:rPr>
        <w:t>,</w:t>
      </w:r>
      <w:r w:rsidR="002A2196" w:rsidRPr="00424846">
        <w:rPr>
          <w:rFonts w:ascii="Arial" w:hAnsi="Arial" w:cs="Arial"/>
          <w:sz w:val="24"/>
          <w:szCs w:val="24"/>
        </w:rPr>
        <w:t xml:space="preserve"> </w:t>
      </w:r>
      <w:r w:rsidR="005B63FC" w:rsidRPr="00424846">
        <w:rPr>
          <w:rFonts w:ascii="Arial" w:hAnsi="Arial" w:cs="Arial"/>
          <w:sz w:val="24"/>
          <w:szCs w:val="24"/>
        </w:rPr>
        <w:t xml:space="preserve">at least on the surface, </w:t>
      </w:r>
      <w:r w:rsidR="002A2196" w:rsidRPr="00424846">
        <w:rPr>
          <w:rFonts w:ascii="Arial" w:hAnsi="Arial" w:cs="Arial"/>
          <w:sz w:val="24"/>
          <w:szCs w:val="24"/>
        </w:rPr>
        <w:t xml:space="preserve">that the rules and guidelines </w:t>
      </w:r>
      <w:r w:rsidR="000C5978" w:rsidRPr="00424846">
        <w:rPr>
          <w:rFonts w:ascii="Arial" w:hAnsi="Arial" w:cs="Arial"/>
          <w:sz w:val="24"/>
          <w:szCs w:val="24"/>
        </w:rPr>
        <w:t xml:space="preserve">which govern the use of </w:t>
      </w:r>
      <w:r w:rsidR="002A2196" w:rsidRPr="00424846">
        <w:rPr>
          <w:rFonts w:ascii="Arial" w:hAnsi="Arial" w:cs="Arial"/>
          <w:sz w:val="24"/>
          <w:szCs w:val="24"/>
        </w:rPr>
        <w:t>JT</w:t>
      </w:r>
      <w:r w:rsidR="000042A4" w:rsidRPr="00424846">
        <w:rPr>
          <w:rFonts w:ascii="Arial" w:hAnsi="Arial" w:cs="Arial"/>
          <w:sz w:val="24"/>
          <w:szCs w:val="24"/>
        </w:rPr>
        <w:t>, particularly</w:t>
      </w:r>
      <w:r w:rsidR="005B63FC" w:rsidRPr="00424846">
        <w:rPr>
          <w:rFonts w:ascii="Arial" w:hAnsi="Arial" w:cs="Arial"/>
          <w:sz w:val="24"/>
          <w:szCs w:val="24"/>
        </w:rPr>
        <w:t xml:space="preserve">, making sure a crime was committed, ensuring virtual certainty and </w:t>
      </w:r>
      <w:r w:rsidR="000042A4" w:rsidRPr="00424846">
        <w:rPr>
          <w:rFonts w:ascii="Arial" w:hAnsi="Arial" w:cs="Arial"/>
          <w:sz w:val="24"/>
          <w:szCs w:val="24"/>
        </w:rPr>
        <w:t xml:space="preserve">no suggestive questioning, </w:t>
      </w:r>
      <w:r w:rsidR="002A2196" w:rsidRPr="00424846">
        <w:rPr>
          <w:rFonts w:ascii="Arial" w:hAnsi="Arial" w:cs="Arial"/>
          <w:sz w:val="24"/>
          <w:szCs w:val="24"/>
        </w:rPr>
        <w:t>produce</w:t>
      </w:r>
      <w:r w:rsidR="005B63FC" w:rsidRPr="00424846">
        <w:rPr>
          <w:rFonts w:ascii="Arial" w:hAnsi="Arial" w:cs="Arial"/>
          <w:sz w:val="24"/>
          <w:szCs w:val="24"/>
        </w:rPr>
        <w:t>s</w:t>
      </w:r>
      <w:r w:rsidR="002A2196" w:rsidRPr="00424846">
        <w:rPr>
          <w:rFonts w:ascii="Arial" w:hAnsi="Arial" w:cs="Arial"/>
          <w:sz w:val="24"/>
          <w:szCs w:val="24"/>
        </w:rPr>
        <w:t xml:space="preserve"> </w:t>
      </w:r>
      <w:r w:rsidR="005B63FC" w:rsidRPr="00424846">
        <w:rPr>
          <w:rFonts w:ascii="Arial" w:hAnsi="Arial" w:cs="Arial"/>
          <w:sz w:val="24"/>
          <w:szCs w:val="24"/>
        </w:rPr>
        <w:t xml:space="preserve">much more </w:t>
      </w:r>
      <w:r w:rsidR="002A2196" w:rsidRPr="00424846">
        <w:rPr>
          <w:rFonts w:ascii="Arial" w:hAnsi="Arial" w:cs="Arial"/>
          <w:sz w:val="24"/>
          <w:szCs w:val="24"/>
        </w:rPr>
        <w:t xml:space="preserve">reliable information </w:t>
      </w:r>
      <w:r w:rsidR="005B63FC" w:rsidRPr="00424846">
        <w:rPr>
          <w:rFonts w:ascii="Arial" w:hAnsi="Arial" w:cs="Arial"/>
          <w:sz w:val="24"/>
          <w:szCs w:val="24"/>
        </w:rPr>
        <w:t xml:space="preserve">during interrogations </w:t>
      </w:r>
      <w:r w:rsidR="002A2196" w:rsidRPr="00424846">
        <w:rPr>
          <w:rFonts w:ascii="Arial" w:hAnsi="Arial" w:cs="Arial"/>
          <w:sz w:val="24"/>
          <w:szCs w:val="24"/>
        </w:rPr>
        <w:t>than some current cases</w:t>
      </w:r>
      <w:r w:rsidR="000042A4" w:rsidRPr="00424846">
        <w:rPr>
          <w:rFonts w:ascii="Arial" w:hAnsi="Arial" w:cs="Arial"/>
          <w:sz w:val="24"/>
          <w:szCs w:val="24"/>
        </w:rPr>
        <w:t xml:space="preserve">, </w:t>
      </w:r>
      <w:r w:rsidR="002A2196" w:rsidRPr="00424846">
        <w:rPr>
          <w:rFonts w:ascii="Arial" w:hAnsi="Arial" w:cs="Arial"/>
          <w:sz w:val="24"/>
          <w:szCs w:val="24"/>
        </w:rPr>
        <w:t>which are riddled with false confessions and suggestive questioning</w:t>
      </w:r>
      <w:r w:rsidR="005B63FC" w:rsidRPr="00424846">
        <w:rPr>
          <w:rFonts w:ascii="Arial" w:hAnsi="Arial" w:cs="Arial"/>
          <w:sz w:val="24"/>
          <w:szCs w:val="24"/>
        </w:rPr>
        <w:t xml:space="preserve">. </w:t>
      </w:r>
      <w:r w:rsidR="00897DF2" w:rsidRPr="00424846">
        <w:rPr>
          <w:rFonts w:ascii="Arial" w:hAnsi="Arial" w:cs="Arial"/>
          <w:sz w:val="24"/>
          <w:szCs w:val="24"/>
        </w:rPr>
        <w:t xml:space="preserve"> </w:t>
      </w:r>
    </w:p>
    <w:p w14:paraId="7849769E" w14:textId="10DCC8A0" w:rsidR="00AF18B0" w:rsidRPr="00424846" w:rsidRDefault="00200F3F" w:rsidP="00862139">
      <w:pPr>
        <w:spacing w:line="480" w:lineRule="auto"/>
        <w:jc w:val="both"/>
        <w:rPr>
          <w:rFonts w:ascii="Arial" w:hAnsi="Arial" w:cs="Arial"/>
          <w:sz w:val="24"/>
          <w:szCs w:val="24"/>
        </w:rPr>
      </w:pPr>
      <w:r w:rsidRPr="00424846">
        <w:rPr>
          <w:rFonts w:ascii="Arial" w:hAnsi="Arial" w:cs="Arial"/>
          <w:sz w:val="24"/>
          <w:szCs w:val="24"/>
        </w:rPr>
        <w:t>Andrews</w:t>
      </w:r>
      <w:r w:rsidRPr="00424846">
        <w:rPr>
          <w:rStyle w:val="FootnoteReference"/>
          <w:rFonts w:ascii="Arial" w:hAnsi="Arial" w:cs="Arial"/>
          <w:sz w:val="24"/>
          <w:szCs w:val="24"/>
        </w:rPr>
        <w:footnoteReference w:id="25"/>
      </w:r>
      <w:r w:rsidR="00897DF2" w:rsidRPr="00424846">
        <w:rPr>
          <w:rFonts w:ascii="Arial" w:hAnsi="Arial" w:cs="Arial"/>
          <w:sz w:val="24"/>
          <w:szCs w:val="24"/>
        </w:rPr>
        <w:t xml:space="preserve"> </w:t>
      </w:r>
      <w:r w:rsidRPr="00424846">
        <w:rPr>
          <w:rFonts w:ascii="Arial" w:hAnsi="Arial" w:cs="Arial"/>
          <w:sz w:val="24"/>
          <w:szCs w:val="24"/>
        </w:rPr>
        <w:t>rejects</w:t>
      </w:r>
      <w:r w:rsidR="00897DF2" w:rsidRPr="00424846">
        <w:rPr>
          <w:rFonts w:ascii="Arial" w:hAnsi="Arial" w:cs="Arial"/>
          <w:sz w:val="24"/>
          <w:szCs w:val="24"/>
        </w:rPr>
        <w:t xml:space="preserve"> </w:t>
      </w:r>
      <w:r w:rsidR="00CB7880" w:rsidRPr="00424846">
        <w:rPr>
          <w:rFonts w:ascii="Arial" w:hAnsi="Arial" w:cs="Arial"/>
          <w:sz w:val="24"/>
          <w:szCs w:val="24"/>
        </w:rPr>
        <w:t xml:space="preserve">his </w:t>
      </w:r>
      <w:r w:rsidR="005B63FC" w:rsidRPr="00424846">
        <w:rPr>
          <w:rFonts w:ascii="Arial" w:hAnsi="Arial" w:cs="Arial"/>
          <w:sz w:val="24"/>
          <w:szCs w:val="24"/>
        </w:rPr>
        <w:t xml:space="preserve">claim, as he </w:t>
      </w:r>
      <w:r w:rsidR="00897DF2" w:rsidRPr="00424846">
        <w:rPr>
          <w:rFonts w:ascii="Arial" w:hAnsi="Arial" w:cs="Arial"/>
          <w:sz w:val="24"/>
          <w:szCs w:val="24"/>
        </w:rPr>
        <w:t>argu</w:t>
      </w:r>
      <w:r w:rsidR="005B63FC" w:rsidRPr="00424846">
        <w:rPr>
          <w:rFonts w:ascii="Arial" w:hAnsi="Arial" w:cs="Arial"/>
          <w:sz w:val="24"/>
          <w:szCs w:val="24"/>
        </w:rPr>
        <w:t>es</w:t>
      </w:r>
      <w:r w:rsidR="00897DF2" w:rsidRPr="00424846">
        <w:rPr>
          <w:rFonts w:ascii="Arial" w:hAnsi="Arial" w:cs="Arial"/>
          <w:sz w:val="24"/>
          <w:szCs w:val="24"/>
        </w:rPr>
        <w:t xml:space="preserve"> that</w:t>
      </w:r>
      <w:r w:rsidR="002D4ECA" w:rsidRPr="00424846">
        <w:rPr>
          <w:rFonts w:ascii="Arial" w:hAnsi="Arial" w:cs="Arial"/>
          <w:sz w:val="24"/>
          <w:szCs w:val="24"/>
        </w:rPr>
        <w:t xml:space="preserve"> medieval cases</w:t>
      </w:r>
      <w:r w:rsidRPr="00424846">
        <w:rPr>
          <w:rFonts w:ascii="Arial" w:hAnsi="Arial" w:cs="Arial"/>
          <w:sz w:val="24"/>
          <w:szCs w:val="24"/>
        </w:rPr>
        <w:t xml:space="preserve">, </w:t>
      </w:r>
      <w:r w:rsidR="002D4ECA" w:rsidRPr="00424846">
        <w:rPr>
          <w:rFonts w:ascii="Arial" w:hAnsi="Arial" w:cs="Arial"/>
          <w:sz w:val="24"/>
          <w:szCs w:val="24"/>
        </w:rPr>
        <w:t>like Monke and Jean</w:t>
      </w:r>
      <w:r w:rsidRPr="00424846">
        <w:rPr>
          <w:rFonts w:ascii="Arial" w:hAnsi="Arial" w:cs="Arial"/>
          <w:sz w:val="24"/>
          <w:szCs w:val="24"/>
        </w:rPr>
        <w:t xml:space="preserve">, </w:t>
      </w:r>
      <w:r w:rsidR="002D4ECA" w:rsidRPr="00424846">
        <w:rPr>
          <w:rFonts w:ascii="Arial" w:hAnsi="Arial" w:cs="Arial"/>
          <w:sz w:val="24"/>
          <w:szCs w:val="24"/>
        </w:rPr>
        <w:t>indicate th</w:t>
      </w:r>
      <w:r w:rsidR="005B63FC" w:rsidRPr="00424846">
        <w:rPr>
          <w:rFonts w:ascii="Arial" w:hAnsi="Arial" w:cs="Arial"/>
          <w:sz w:val="24"/>
          <w:szCs w:val="24"/>
        </w:rPr>
        <w:t>e complete opposite, that</w:t>
      </w:r>
      <w:r w:rsidR="002D4ECA" w:rsidRPr="00424846">
        <w:rPr>
          <w:rFonts w:ascii="Arial" w:hAnsi="Arial" w:cs="Arial"/>
          <w:sz w:val="24"/>
          <w:szCs w:val="24"/>
        </w:rPr>
        <w:t xml:space="preserve"> innocent men have certainly been criminalised and severely tortured by the state under these same guidelines</w:t>
      </w:r>
      <w:r w:rsidR="008D0D5F" w:rsidRPr="00424846">
        <w:rPr>
          <w:rStyle w:val="FootnoteReference"/>
          <w:rFonts w:ascii="Arial" w:hAnsi="Arial" w:cs="Arial"/>
          <w:sz w:val="24"/>
          <w:szCs w:val="24"/>
        </w:rPr>
        <w:footnoteReference w:id="26"/>
      </w:r>
      <w:r w:rsidR="002D4ECA" w:rsidRPr="00424846">
        <w:rPr>
          <w:rFonts w:ascii="Arial" w:hAnsi="Arial" w:cs="Arial"/>
          <w:sz w:val="24"/>
          <w:szCs w:val="24"/>
        </w:rPr>
        <w:t xml:space="preserve">, proving them to </w:t>
      </w:r>
      <w:r w:rsidR="00CB7880" w:rsidRPr="00424846">
        <w:rPr>
          <w:rFonts w:ascii="Arial" w:hAnsi="Arial" w:cs="Arial"/>
          <w:sz w:val="24"/>
          <w:szCs w:val="24"/>
        </w:rPr>
        <w:t xml:space="preserve">be </w:t>
      </w:r>
      <w:r w:rsidR="005B63FC" w:rsidRPr="00424846">
        <w:rPr>
          <w:rFonts w:ascii="Arial" w:hAnsi="Arial" w:cs="Arial"/>
          <w:sz w:val="24"/>
          <w:szCs w:val="24"/>
        </w:rPr>
        <w:t>ineffective at protecting the accused</w:t>
      </w:r>
      <w:r w:rsidR="00CB7880" w:rsidRPr="00424846">
        <w:rPr>
          <w:rFonts w:ascii="Arial" w:hAnsi="Arial" w:cs="Arial"/>
          <w:sz w:val="24"/>
          <w:szCs w:val="24"/>
        </w:rPr>
        <w:t>, mirroring Webb’s argument above</w:t>
      </w:r>
      <w:r w:rsidR="005B63FC" w:rsidRPr="00424846">
        <w:rPr>
          <w:rFonts w:ascii="Arial" w:hAnsi="Arial" w:cs="Arial"/>
          <w:sz w:val="24"/>
          <w:szCs w:val="24"/>
        </w:rPr>
        <w:t xml:space="preserve">. </w:t>
      </w:r>
      <w:r w:rsidR="002D4ECA" w:rsidRPr="00424846">
        <w:rPr>
          <w:rFonts w:ascii="Arial" w:hAnsi="Arial" w:cs="Arial"/>
          <w:sz w:val="24"/>
          <w:szCs w:val="24"/>
        </w:rPr>
        <w:t xml:space="preserve"> </w:t>
      </w:r>
      <w:r w:rsidR="005B63FC" w:rsidRPr="00424846">
        <w:rPr>
          <w:rFonts w:ascii="Arial" w:hAnsi="Arial" w:cs="Arial"/>
          <w:sz w:val="24"/>
          <w:szCs w:val="24"/>
        </w:rPr>
        <w:t xml:space="preserve">Furthermore, when considering our current legal standing </w:t>
      </w:r>
      <w:r w:rsidR="00CB7880" w:rsidRPr="00424846">
        <w:rPr>
          <w:rFonts w:ascii="Arial" w:hAnsi="Arial" w:cs="Arial"/>
          <w:sz w:val="24"/>
          <w:szCs w:val="24"/>
        </w:rPr>
        <w:t>(</w:t>
      </w:r>
      <w:r w:rsidR="005B63FC" w:rsidRPr="00424846">
        <w:rPr>
          <w:rFonts w:ascii="Arial" w:hAnsi="Arial" w:cs="Arial"/>
          <w:sz w:val="24"/>
          <w:szCs w:val="24"/>
        </w:rPr>
        <w:t xml:space="preserve">against </w:t>
      </w:r>
      <w:r w:rsidR="00CB7880" w:rsidRPr="00424846">
        <w:rPr>
          <w:rFonts w:ascii="Arial" w:hAnsi="Arial" w:cs="Arial"/>
          <w:sz w:val="24"/>
          <w:szCs w:val="24"/>
        </w:rPr>
        <w:t>judicial</w:t>
      </w:r>
      <w:r w:rsidR="005B63FC" w:rsidRPr="00424846">
        <w:rPr>
          <w:rFonts w:ascii="Arial" w:hAnsi="Arial" w:cs="Arial"/>
          <w:sz w:val="24"/>
          <w:szCs w:val="24"/>
        </w:rPr>
        <w:t xml:space="preserve"> torture</w:t>
      </w:r>
      <w:r w:rsidR="00CB7880" w:rsidRPr="00424846">
        <w:rPr>
          <w:rFonts w:ascii="Arial" w:hAnsi="Arial" w:cs="Arial"/>
          <w:sz w:val="24"/>
          <w:szCs w:val="24"/>
        </w:rPr>
        <w:t xml:space="preserve">) </w:t>
      </w:r>
      <w:r w:rsidR="005B63FC" w:rsidRPr="00424846">
        <w:rPr>
          <w:rFonts w:ascii="Arial" w:hAnsi="Arial" w:cs="Arial"/>
          <w:sz w:val="24"/>
          <w:szCs w:val="24"/>
        </w:rPr>
        <w:t xml:space="preserve">and the importance placed on a fair trial and the right to silence, it would massively </w:t>
      </w:r>
      <w:r w:rsidR="00CB7880" w:rsidRPr="00424846">
        <w:rPr>
          <w:rFonts w:ascii="Arial" w:hAnsi="Arial" w:cs="Arial"/>
          <w:sz w:val="24"/>
          <w:szCs w:val="24"/>
        </w:rPr>
        <w:t>contradict</w:t>
      </w:r>
      <w:r w:rsidR="005B63FC" w:rsidRPr="00424846">
        <w:rPr>
          <w:rFonts w:ascii="Arial" w:hAnsi="Arial" w:cs="Arial"/>
          <w:sz w:val="24"/>
          <w:szCs w:val="24"/>
        </w:rPr>
        <w:t xml:space="preserve"> the </w:t>
      </w:r>
      <w:r w:rsidR="00CB7880" w:rsidRPr="00424846">
        <w:rPr>
          <w:rFonts w:ascii="Arial" w:hAnsi="Arial" w:cs="Arial"/>
          <w:sz w:val="24"/>
          <w:szCs w:val="24"/>
        </w:rPr>
        <w:t xml:space="preserve">values of evidential </w:t>
      </w:r>
      <w:r w:rsidR="005B63FC" w:rsidRPr="00424846">
        <w:rPr>
          <w:rFonts w:ascii="Arial" w:hAnsi="Arial" w:cs="Arial"/>
          <w:sz w:val="24"/>
          <w:szCs w:val="24"/>
        </w:rPr>
        <w:t>law</w:t>
      </w:r>
      <w:r w:rsidR="00CB7880" w:rsidRPr="00424846">
        <w:rPr>
          <w:rFonts w:ascii="Arial" w:hAnsi="Arial" w:cs="Arial"/>
          <w:sz w:val="24"/>
          <w:szCs w:val="24"/>
        </w:rPr>
        <w:t xml:space="preserve">, </w:t>
      </w:r>
      <w:r w:rsidR="005B63FC" w:rsidRPr="00424846">
        <w:rPr>
          <w:rFonts w:ascii="Arial" w:hAnsi="Arial" w:cs="Arial"/>
          <w:sz w:val="24"/>
          <w:szCs w:val="24"/>
        </w:rPr>
        <w:t xml:space="preserve">if JT was reinstated. </w:t>
      </w:r>
    </w:p>
    <w:p w14:paraId="1F63B68B" w14:textId="77777777" w:rsidR="00AF18B0" w:rsidRPr="00424846" w:rsidRDefault="00AF18B0" w:rsidP="00862139">
      <w:pPr>
        <w:spacing w:line="480" w:lineRule="auto"/>
        <w:jc w:val="both"/>
        <w:rPr>
          <w:rFonts w:ascii="Arial" w:hAnsi="Arial" w:cs="Arial"/>
          <w:sz w:val="24"/>
          <w:szCs w:val="24"/>
        </w:rPr>
      </w:pPr>
    </w:p>
    <w:p w14:paraId="0487D7C8" w14:textId="77777777" w:rsidR="00862139" w:rsidRPr="00424846" w:rsidRDefault="00862139" w:rsidP="00862139">
      <w:pPr>
        <w:spacing w:line="480" w:lineRule="auto"/>
        <w:jc w:val="both"/>
        <w:rPr>
          <w:rFonts w:ascii="Arial" w:hAnsi="Arial" w:cs="Arial"/>
          <w:sz w:val="24"/>
          <w:szCs w:val="24"/>
        </w:rPr>
      </w:pPr>
    </w:p>
    <w:p w14:paraId="5115B457" w14:textId="55075BA1" w:rsidR="00777F42" w:rsidRPr="00862139" w:rsidRDefault="00725FD7" w:rsidP="00862139">
      <w:pPr>
        <w:spacing w:line="480" w:lineRule="auto"/>
        <w:jc w:val="center"/>
        <w:rPr>
          <w:rFonts w:ascii="Arial" w:hAnsi="Arial" w:cs="Arial"/>
          <w:b/>
          <w:bCs/>
          <w:sz w:val="24"/>
          <w:szCs w:val="24"/>
          <w:u w:val="single"/>
        </w:rPr>
      </w:pPr>
      <w:r w:rsidRPr="00862139">
        <w:rPr>
          <w:rFonts w:ascii="Arial" w:hAnsi="Arial" w:cs="Arial"/>
          <w:b/>
          <w:bCs/>
          <w:sz w:val="24"/>
          <w:szCs w:val="24"/>
          <w:u w:val="single"/>
        </w:rPr>
        <w:lastRenderedPageBreak/>
        <w:t>F</w:t>
      </w:r>
      <w:r w:rsidR="00777F42" w:rsidRPr="00862139">
        <w:rPr>
          <w:rFonts w:ascii="Arial" w:hAnsi="Arial" w:cs="Arial"/>
          <w:b/>
          <w:bCs/>
          <w:sz w:val="24"/>
          <w:szCs w:val="24"/>
          <w:u w:val="single"/>
        </w:rPr>
        <w:t>rom Torture to Jur</w:t>
      </w:r>
      <w:r w:rsidR="00862139">
        <w:rPr>
          <w:rFonts w:ascii="Arial" w:hAnsi="Arial" w:cs="Arial"/>
          <w:b/>
          <w:bCs/>
          <w:sz w:val="24"/>
          <w:szCs w:val="24"/>
          <w:u w:val="single"/>
        </w:rPr>
        <w:t>y:</w:t>
      </w:r>
    </w:p>
    <w:p w14:paraId="246A1B9F" w14:textId="639482AE" w:rsidR="0003314C" w:rsidRPr="00424846" w:rsidRDefault="00B02C16" w:rsidP="00862139">
      <w:pPr>
        <w:spacing w:line="480" w:lineRule="auto"/>
        <w:jc w:val="both"/>
        <w:rPr>
          <w:rFonts w:ascii="Arial" w:hAnsi="Arial" w:cs="Arial"/>
          <w:sz w:val="24"/>
          <w:szCs w:val="24"/>
        </w:rPr>
      </w:pPr>
      <w:r w:rsidRPr="00424846">
        <w:rPr>
          <w:rFonts w:ascii="Arial" w:hAnsi="Arial" w:cs="Arial"/>
          <w:sz w:val="24"/>
          <w:szCs w:val="24"/>
        </w:rPr>
        <w:t>Through</w:t>
      </w:r>
      <w:r w:rsidR="00725FD7" w:rsidRPr="00424846">
        <w:rPr>
          <w:rFonts w:ascii="Arial" w:hAnsi="Arial" w:cs="Arial"/>
          <w:sz w:val="24"/>
          <w:szCs w:val="24"/>
        </w:rPr>
        <w:t xml:space="preserve"> 1694, philosophers, legal practitioners and </w:t>
      </w:r>
      <w:r w:rsidR="00052D7A" w:rsidRPr="00424846">
        <w:rPr>
          <w:rFonts w:ascii="Arial" w:hAnsi="Arial" w:cs="Arial"/>
          <w:sz w:val="24"/>
          <w:szCs w:val="24"/>
        </w:rPr>
        <w:t>writers</w:t>
      </w:r>
      <w:r w:rsidR="00725FD7" w:rsidRPr="00424846">
        <w:rPr>
          <w:rFonts w:ascii="Arial" w:hAnsi="Arial" w:cs="Arial"/>
          <w:sz w:val="24"/>
          <w:szCs w:val="24"/>
        </w:rPr>
        <w:t xml:space="preserve"> publicised their </w:t>
      </w:r>
      <w:r w:rsidR="00052D7A" w:rsidRPr="00424846">
        <w:rPr>
          <w:rFonts w:ascii="Arial" w:hAnsi="Arial" w:cs="Arial"/>
          <w:sz w:val="24"/>
          <w:szCs w:val="24"/>
        </w:rPr>
        <w:t xml:space="preserve">work against the use of judicial torture, </w:t>
      </w:r>
      <w:r w:rsidR="00664379" w:rsidRPr="00424846">
        <w:rPr>
          <w:rFonts w:ascii="Arial" w:hAnsi="Arial" w:cs="Arial"/>
          <w:sz w:val="24"/>
          <w:szCs w:val="24"/>
        </w:rPr>
        <w:t>most notably Beccaria</w:t>
      </w:r>
      <w:r w:rsidR="001B7A53" w:rsidRPr="00424846">
        <w:rPr>
          <w:rFonts w:ascii="Arial" w:hAnsi="Arial" w:cs="Arial"/>
          <w:sz w:val="24"/>
          <w:szCs w:val="24"/>
        </w:rPr>
        <w:t xml:space="preserve">, </w:t>
      </w:r>
      <w:r w:rsidR="00664379" w:rsidRPr="00424846">
        <w:rPr>
          <w:rFonts w:ascii="Arial" w:hAnsi="Arial" w:cs="Arial"/>
          <w:sz w:val="24"/>
          <w:szCs w:val="24"/>
        </w:rPr>
        <w:t>Voltaire</w:t>
      </w:r>
      <w:r w:rsidR="001B7A53" w:rsidRPr="00424846">
        <w:rPr>
          <w:rFonts w:ascii="Arial" w:hAnsi="Arial" w:cs="Arial"/>
          <w:sz w:val="24"/>
          <w:szCs w:val="24"/>
        </w:rPr>
        <w:t xml:space="preserve"> and Fortescue</w:t>
      </w:r>
      <w:r w:rsidR="00664379" w:rsidRPr="00424846">
        <w:rPr>
          <w:rFonts w:ascii="Arial" w:hAnsi="Arial" w:cs="Arial"/>
          <w:sz w:val="24"/>
          <w:szCs w:val="24"/>
        </w:rPr>
        <w:t xml:space="preserve">, who </w:t>
      </w:r>
      <w:r w:rsidR="00052D7A" w:rsidRPr="00424846">
        <w:rPr>
          <w:rFonts w:ascii="Arial" w:hAnsi="Arial" w:cs="Arial"/>
          <w:sz w:val="24"/>
          <w:szCs w:val="24"/>
        </w:rPr>
        <w:t>uncovered</w:t>
      </w:r>
      <w:r w:rsidR="00664379" w:rsidRPr="00424846">
        <w:rPr>
          <w:rFonts w:ascii="Arial" w:hAnsi="Arial" w:cs="Arial"/>
          <w:sz w:val="24"/>
          <w:szCs w:val="24"/>
        </w:rPr>
        <w:t xml:space="preserve"> the </w:t>
      </w:r>
      <w:r w:rsidR="00052D7A" w:rsidRPr="00424846">
        <w:rPr>
          <w:rFonts w:ascii="Arial" w:hAnsi="Arial" w:cs="Arial"/>
          <w:sz w:val="24"/>
          <w:szCs w:val="24"/>
        </w:rPr>
        <w:t>inherent</w:t>
      </w:r>
      <w:r w:rsidR="00664379" w:rsidRPr="00424846">
        <w:rPr>
          <w:rFonts w:ascii="Arial" w:hAnsi="Arial" w:cs="Arial"/>
          <w:sz w:val="24"/>
          <w:szCs w:val="24"/>
        </w:rPr>
        <w:t xml:space="preserve"> </w:t>
      </w:r>
      <w:r w:rsidR="00052D7A" w:rsidRPr="00424846">
        <w:rPr>
          <w:rFonts w:ascii="Arial" w:hAnsi="Arial" w:cs="Arial"/>
          <w:sz w:val="24"/>
          <w:szCs w:val="24"/>
        </w:rPr>
        <w:t>weaknesses</w:t>
      </w:r>
      <w:r w:rsidR="00664379" w:rsidRPr="00424846">
        <w:rPr>
          <w:rFonts w:ascii="Arial" w:hAnsi="Arial" w:cs="Arial"/>
          <w:sz w:val="24"/>
          <w:szCs w:val="24"/>
        </w:rPr>
        <w:t xml:space="preserve"> </w:t>
      </w:r>
      <w:r w:rsidR="00052D7A" w:rsidRPr="00424846">
        <w:rPr>
          <w:rFonts w:ascii="Arial" w:hAnsi="Arial" w:cs="Arial"/>
          <w:sz w:val="24"/>
          <w:szCs w:val="24"/>
        </w:rPr>
        <w:t xml:space="preserve">within the </w:t>
      </w:r>
      <w:r w:rsidR="00664379" w:rsidRPr="00424846">
        <w:rPr>
          <w:rFonts w:ascii="Arial" w:hAnsi="Arial" w:cs="Arial"/>
          <w:sz w:val="24"/>
          <w:szCs w:val="24"/>
        </w:rPr>
        <w:t>jurisprudence of torture</w:t>
      </w:r>
      <w:r w:rsidR="00833EC0" w:rsidRPr="00424846">
        <w:rPr>
          <w:rFonts w:ascii="Arial" w:hAnsi="Arial" w:cs="Arial"/>
          <w:sz w:val="24"/>
          <w:szCs w:val="24"/>
        </w:rPr>
        <w:t xml:space="preserve">. They used notable cases of abuse of power committed by the state and the horrid consequences this had on innocent mens lives, to move their readers, </w:t>
      </w:r>
      <w:r w:rsidR="00CF196B" w:rsidRPr="00424846">
        <w:rPr>
          <w:rFonts w:ascii="Arial" w:hAnsi="Arial" w:cs="Arial"/>
          <w:sz w:val="24"/>
          <w:szCs w:val="24"/>
        </w:rPr>
        <w:t>who ranged from</w:t>
      </w:r>
      <w:r w:rsidR="00833EC0" w:rsidRPr="00424846">
        <w:rPr>
          <w:rFonts w:ascii="Arial" w:hAnsi="Arial" w:cs="Arial"/>
          <w:sz w:val="24"/>
          <w:szCs w:val="24"/>
        </w:rPr>
        <w:t xml:space="preserve"> powerless men </w:t>
      </w:r>
      <w:r w:rsidR="00CF196B" w:rsidRPr="00424846">
        <w:rPr>
          <w:rFonts w:ascii="Arial" w:hAnsi="Arial" w:cs="Arial"/>
          <w:sz w:val="24"/>
          <w:szCs w:val="24"/>
        </w:rPr>
        <w:t>to</w:t>
      </w:r>
      <w:r w:rsidR="00833EC0" w:rsidRPr="00424846">
        <w:rPr>
          <w:rFonts w:ascii="Arial" w:hAnsi="Arial" w:cs="Arial"/>
          <w:sz w:val="24"/>
          <w:szCs w:val="24"/>
        </w:rPr>
        <w:t xml:space="preserve"> the monarchy, to critique the reliability and validity of JT and invoke their </w:t>
      </w:r>
      <w:r w:rsidR="00CF196B" w:rsidRPr="00424846">
        <w:rPr>
          <w:rFonts w:ascii="Arial" w:hAnsi="Arial" w:cs="Arial"/>
          <w:sz w:val="24"/>
          <w:szCs w:val="24"/>
        </w:rPr>
        <w:t xml:space="preserve">conscience, </w:t>
      </w:r>
      <w:r w:rsidR="00833EC0" w:rsidRPr="00424846">
        <w:rPr>
          <w:rFonts w:ascii="Arial" w:hAnsi="Arial" w:cs="Arial"/>
          <w:sz w:val="24"/>
          <w:szCs w:val="24"/>
        </w:rPr>
        <w:t xml:space="preserve">ethics and morality to stand against the </w:t>
      </w:r>
      <w:r w:rsidR="00374287" w:rsidRPr="00424846">
        <w:rPr>
          <w:rFonts w:ascii="Arial" w:hAnsi="Arial" w:cs="Arial"/>
          <w:sz w:val="24"/>
          <w:szCs w:val="24"/>
        </w:rPr>
        <w:t xml:space="preserve">method of torture </w:t>
      </w:r>
      <w:r w:rsidR="00833EC0" w:rsidRPr="00424846">
        <w:rPr>
          <w:rFonts w:ascii="Arial" w:hAnsi="Arial" w:cs="Arial"/>
          <w:sz w:val="24"/>
          <w:szCs w:val="24"/>
        </w:rPr>
        <w:t>and, ultimately, abolish its use</w:t>
      </w:r>
      <w:r w:rsidR="00374287" w:rsidRPr="00424846">
        <w:rPr>
          <w:rFonts w:ascii="Arial" w:hAnsi="Arial" w:cs="Arial"/>
          <w:sz w:val="24"/>
          <w:szCs w:val="24"/>
        </w:rPr>
        <w:t xml:space="preserve"> forever</w:t>
      </w:r>
      <w:r w:rsidR="00CF196B" w:rsidRPr="00424846">
        <w:rPr>
          <w:rStyle w:val="FootnoteReference"/>
          <w:rFonts w:ascii="Arial" w:hAnsi="Arial" w:cs="Arial"/>
          <w:sz w:val="24"/>
          <w:szCs w:val="24"/>
        </w:rPr>
        <w:footnoteReference w:id="27"/>
      </w:r>
      <w:r w:rsidR="00833EC0" w:rsidRPr="00424846">
        <w:rPr>
          <w:rFonts w:ascii="Arial" w:hAnsi="Arial" w:cs="Arial"/>
          <w:sz w:val="24"/>
          <w:szCs w:val="24"/>
        </w:rPr>
        <w:t>.</w:t>
      </w:r>
      <w:r w:rsidR="00CF196B" w:rsidRPr="00424846">
        <w:rPr>
          <w:rFonts w:ascii="Arial" w:hAnsi="Arial" w:cs="Arial"/>
          <w:sz w:val="24"/>
          <w:szCs w:val="24"/>
        </w:rPr>
        <w:t xml:space="preserve"> </w:t>
      </w:r>
      <w:r w:rsidR="00833EC0" w:rsidRPr="00424846">
        <w:rPr>
          <w:rFonts w:ascii="Arial" w:hAnsi="Arial" w:cs="Arial"/>
          <w:sz w:val="24"/>
          <w:szCs w:val="24"/>
        </w:rPr>
        <w:t xml:space="preserve"> </w:t>
      </w:r>
    </w:p>
    <w:p w14:paraId="09C85A39" w14:textId="7124881C" w:rsidR="0020045E" w:rsidRPr="00424846" w:rsidRDefault="00CF196B" w:rsidP="00862139">
      <w:pPr>
        <w:spacing w:line="480" w:lineRule="auto"/>
        <w:jc w:val="both"/>
        <w:rPr>
          <w:rFonts w:ascii="Arial" w:hAnsi="Arial" w:cs="Arial"/>
          <w:sz w:val="24"/>
          <w:szCs w:val="24"/>
        </w:rPr>
      </w:pPr>
      <w:r w:rsidRPr="00424846">
        <w:rPr>
          <w:rFonts w:ascii="Arial" w:hAnsi="Arial" w:cs="Arial"/>
          <w:sz w:val="24"/>
          <w:szCs w:val="24"/>
        </w:rPr>
        <w:t xml:space="preserve">The French philosopher, </w:t>
      </w:r>
      <w:r w:rsidR="0007356C" w:rsidRPr="00424846">
        <w:rPr>
          <w:rFonts w:ascii="Arial" w:hAnsi="Arial" w:cs="Arial"/>
          <w:sz w:val="24"/>
          <w:szCs w:val="24"/>
        </w:rPr>
        <w:t>Voltaire</w:t>
      </w:r>
      <w:r w:rsidR="00F1790F" w:rsidRPr="00424846">
        <w:rPr>
          <w:rFonts w:ascii="Arial" w:hAnsi="Arial" w:cs="Arial"/>
          <w:sz w:val="24"/>
          <w:szCs w:val="24"/>
        </w:rPr>
        <w:t xml:space="preserve">, </w:t>
      </w:r>
      <w:r w:rsidR="00DD7595" w:rsidRPr="00424846">
        <w:rPr>
          <w:rFonts w:ascii="Arial" w:hAnsi="Arial" w:cs="Arial"/>
          <w:sz w:val="24"/>
          <w:szCs w:val="24"/>
        </w:rPr>
        <w:t xml:space="preserve">examined the case study of Jean Calas as an integral case to support his argument for the abolition of torture in his book, </w:t>
      </w:r>
      <w:r w:rsidR="00DD7595" w:rsidRPr="00424846">
        <w:rPr>
          <w:rFonts w:ascii="Arial" w:hAnsi="Arial" w:cs="Arial"/>
          <w:i/>
          <w:iCs/>
          <w:sz w:val="24"/>
          <w:szCs w:val="24"/>
        </w:rPr>
        <w:t>the Treatise on Torture</w:t>
      </w:r>
      <w:r w:rsidR="00DD7595" w:rsidRPr="00424846">
        <w:rPr>
          <w:rFonts w:ascii="Arial" w:hAnsi="Arial" w:cs="Arial"/>
          <w:sz w:val="24"/>
          <w:szCs w:val="24"/>
        </w:rPr>
        <w:t>, where he intervened and campaigned for Jean Calas</w:t>
      </w:r>
      <w:r w:rsidR="00F1790F" w:rsidRPr="00424846">
        <w:rPr>
          <w:rFonts w:ascii="Arial" w:hAnsi="Arial" w:cs="Arial"/>
          <w:sz w:val="24"/>
          <w:szCs w:val="24"/>
        </w:rPr>
        <w:t>’</w:t>
      </w:r>
      <w:r w:rsidR="00DD7595" w:rsidRPr="00424846">
        <w:rPr>
          <w:rFonts w:ascii="Arial" w:hAnsi="Arial" w:cs="Arial"/>
          <w:sz w:val="24"/>
          <w:szCs w:val="24"/>
        </w:rPr>
        <w:t xml:space="preserve"> conviction of murder to be overturned, stating that Jean </w:t>
      </w:r>
      <w:r w:rsidR="000A16AE" w:rsidRPr="00424846">
        <w:rPr>
          <w:rFonts w:ascii="Arial" w:hAnsi="Arial" w:cs="Arial"/>
          <w:sz w:val="24"/>
          <w:szCs w:val="24"/>
        </w:rPr>
        <w:t>succumbed</w:t>
      </w:r>
      <w:r w:rsidR="00DD7595" w:rsidRPr="00424846">
        <w:rPr>
          <w:rFonts w:ascii="Arial" w:hAnsi="Arial" w:cs="Arial"/>
          <w:sz w:val="24"/>
          <w:szCs w:val="24"/>
        </w:rPr>
        <w:t xml:space="preserve"> to confessing in order to end the pain of torture</w:t>
      </w:r>
      <w:r w:rsidR="000A16AE" w:rsidRPr="00424846">
        <w:rPr>
          <w:rFonts w:ascii="Arial" w:hAnsi="Arial" w:cs="Arial"/>
          <w:sz w:val="24"/>
          <w:szCs w:val="24"/>
        </w:rPr>
        <w:t xml:space="preserve">, </w:t>
      </w:r>
      <w:r w:rsidR="00DD7595" w:rsidRPr="00424846">
        <w:rPr>
          <w:rFonts w:ascii="Arial" w:hAnsi="Arial" w:cs="Arial"/>
          <w:sz w:val="24"/>
          <w:szCs w:val="24"/>
        </w:rPr>
        <w:t xml:space="preserve">not to </w:t>
      </w:r>
      <w:r w:rsidR="000A16AE" w:rsidRPr="00424846">
        <w:rPr>
          <w:rFonts w:ascii="Arial" w:hAnsi="Arial" w:cs="Arial"/>
          <w:sz w:val="24"/>
          <w:szCs w:val="24"/>
        </w:rPr>
        <w:t>confess to murdering his son, Marc</w:t>
      </w:r>
      <w:r w:rsidR="008D0D5F" w:rsidRPr="00424846">
        <w:rPr>
          <w:rStyle w:val="FootnoteReference"/>
          <w:rFonts w:ascii="Arial" w:hAnsi="Arial" w:cs="Arial"/>
          <w:sz w:val="24"/>
          <w:szCs w:val="24"/>
        </w:rPr>
        <w:footnoteReference w:id="28"/>
      </w:r>
      <w:r w:rsidR="000A16AE" w:rsidRPr="00424846">
        <w:rPr>
          <w:rFonts w:ascii="Arial" w:hAnsi="Arial" w:cs="Arial"/>
          <w:sz w:val="24"/>
          <w:szCs w:val="24"/>
        </w:rPr>
        <w:t>. This resulted in the court later finding Jean not guilty of murder, albeit</w:t>
      </w:r>
      <w:r w:rsidR="00F1790F" w:rsidRPr="00424846">
        <w:rPr>
          <w:rFonts w:ascii="Arial" w:hAnsi="Arial" w:cs="Arial"/>
          <w:sz w:val="24"/>
          <w:szCs w:val="24"/>
        </w:rPr>
        <w:t xml:space="preserve">, </w:t>
      </w:r>
      <w:r w:rsidR="000A16AE" w:rsidRPr="00424846">
        <w:rPr>
          <w:rFonts w:ascii="Arial" w:hAnsi="Arial" w:cs="Arial"/>
          <w:sz w:val="24"/>
          <w:szCs w:val="24"/>
        </w:rPr>
        <w:t>after Jean died of torture with no recompense</w:t>
      </w:r>
      <w:r w:rsidR="00F1790F" w:rsidRPr="00424846">
        <w:rPr>
          <w:rFonts w:ascii="Arial" w:hAnsi="Arial" w:cs="Arial"/>
          <w:sz w:val="24"/>
          <w:szCs w:val="24"/>
        </w:rPr>
        <w:t>. C</w:t>
      </w:r>
      <w:r w:rsidR="000A16AE" w:rsidRPr="00424846">
        <w:rPr>
          <w:rFonts w:ascii="Arial" w:hAnsi="Arial" w:cs="Arial"/>
          <w:sz w:val="24"/>
          <w:szCs w:val="24"/>
        </w:rPr>
        <w:t>ausing Voltaire to conclude that the ‘half proof’ status of confessions under torture renders it only half true</w:t>
      </w:r>
      <w:r w:rsidR="00A52F38" w:rsidRPr="00424846">
        <w:rPr>
          <w:rStyle w:val="FootnoteReference"/>
          <w:rFonts w:ascii="Arial" w:hAnsi="Arial" w:cs="Arial"/>
          <w:sz w:val="24"/>
          <w:szCs w:val="24"/>
        </w:rPr>
        <w:footnoteReference w:id="29"/>
      </w:r>
      <w:r w:rsidR="000A16AE" w:rsidRPr="00424846">
        <w:rPr>
          <w:rFonts w:ascii="Arial" w:hAnsi="Arial" w:cs="Arial"/>
          <w:sz w:val="24"/>
          <w:szCs w:val="24"/>
        </w:rPr>
        <w:t xml:space="preserve">. Geary argues the same in his book, but with different reasoning, as he </w:t>
      </w:r>
      <w:r w:rsidR="00F1790F" w:rsidRPr="00424846">
        <w:rPr>
          <w:rFonts w:ascii="Arial" w:hAnsi="Arial" w:cs="Arial"/>
          <w:sz w:val="24"/>
          <w:szCs w:val="24"/>
        </w:rPr>
        <w:t xml:space="preserve">asserts </w:t>
      </w:r>
      <w:r w:rsidR="000A16AE" w:rsidRPr="00424846">
        <w:rPr>
          <w:rFonts w:ascii="Arial" w:hAnsi="Arial" w:cs="Arial"/>
          <w:sz w:val="24"/>
          <w:szCs w:val="24"/>
        </w:rPr>
        <w:t xml:space="preserve">that </w:t>
      </w:r>
      <w:r w:rsidR="00F1790F" w:rsidRPr="00424846">
        <w:rPr>
          <w:rFonts w:ascii="Arial" w:hAnsi="Arial" w:cs="Arial"/>
          <w:sz w:val="24"/>
          <w:szCs w:val="24"/>
        </w:rPr>
        <w:t xml:space="preserve">each </w:t>
      </w:r>
      <w:r w:rsidR="000A16AE" w:rsidRPr="00424846">
        <w:rPr>
          <w:rFonts w:ascii="Arial" w:hAnsi="Arial" w:cs="Arial"/>
          <w:sz w:val="24"/>
          <w:szCs w:val="24"/>
        </w:rPr>
        <w:t>suspect</w:t>
      </w:r>
      <w:r w:rsidR="00F1790F" w:rsidRPr="00424846">
        <w:rPr>
          <w:rFonts w:ascii="Arial" w:hAnsi="Arial" w:cs="Arial"/>
          <w:sz w:val="24"/>
          <w:szCs w:val="24"/>
        </w:rPr>
        <w:t>’</w:t>
      </w:r>
      <w:r w:rsidR="000A16AE" w:rsidRPr="00424846">
        <w:rPr>
          <w:rFonts w:ascii="Arial" w:hAnsi="Arial" w:cs="Arial"/>
          <w:sz w:val="24"/>
          <w:szCs w:val="24"/>
        </w:rPr>
        <w:t xml:space="preserve">s recollection, due to a period of time passing, will likely be vague, coupled with pressure or pain, is expected to be inaccurate, therefore, </w:t>
      </w:r>
      <w:r w:rsidR="00F1790F" w:rsidRPr="00424846">
        <w:rPr>
          <w:rFonts w:ascii="Arial" w:hAnsi="Arial" w:cs="Arial"/>
          <w:sz w:val="24"/>
          <w:szCs w:val="24"/>
        </w:rPr>
        <w:t xml:space="preserve">is totally </w:t>
      </w:r>
      <w:r w:rsidR="000A16AE" w:rsidRPr="00424846">
        <w:rPr>
          <w:rFonts w:ascii="Arial" w:hAnsi="Arial" w:cs="Arial"/>
          <w:sz w:val="24"/>
          <w:szCs w:val="24"/>
        </w:rPr>
        <w:t>useless</w:t>
      </w:r>
      <w:r w:rsidR="00A52F38" w:rsidRPr="00424846">
        <w:rPr>
          <w:rStyle w:val="FootnoteReference"/>
          <w:rFonts w:ascii="Arial" w:hAnsi="Arial" w:cs="Arial"/>
          <w:sz w:val="24"/>
          <w:szCs w:val="24"/>
        </w:rPr>
        <w:footnoteReference w:id="30"/>
      </w:r>
      <w:r w:rsidR="000A16AE" w:rsidRPr="00424846">
        <w:rPr>
          <w:rFonts w:ascii="Arial" w:hAnsi="Arial" w:cs="Arial"/>
          <w:sz w:val="24"/>
          <w:szCs w:val="24"/>
        </w:rPr>
        <w:t xml:space="preserve">. </w:t>
      </w:r>
      <w:r w:rsidR="00041643" w:rsidRPr="00424846">
        <w:rPr>
          <w:rFonts w:ascii="Arial" w:hAnsi="Arial" w:cs="Arial"/>
          <w:sz w:val="24"/>
          <w:szCs w:val="24"/>
        </w:rPr>
        <w:t>This point of view was further echoed by Napoleon Bonaparte</w:t>
      </w:r>
      <w:r w:rsidR="00CA1FE6" w:rsidRPr="00424846">
        <w:rPr>
          <w:rFonts w:ascii="Arial" w:hAnsi="Arial" w:cs="Arial"/>
          <w:sz w:val="24"/>
          <w:szCs w:val="24"/>
        </w:rPr>
        <w:t xml:space="preserve">, </w:t>
      </w:r>
      <w:r w:rsidR="006C45D6" w:rsidRPr="00424846">
        <w:rPr>
          <w:rFonts w:ascii="Arial" w:hAnsi="Arial" w:cs="Arial"/>
          <w:sz w:val="24"/>
          <w:szCs w:val="24"/>
        </w:rPr>
        <w:t>as he criticised the method as being ‘pointless’</w:t>
      </w:r>
      <w:r w:rsidR="009B1F38" w:rsidRPr="00424846">
        <w:rPr>
          <w:rStyle w:val="FootnoteReference"/>
          <w:rFonts w:ascii="Arial" w:hAnsi="Arial" w:cs="Arial"/>
          <w:sz w:val="24"/>
          <w:szCs w:val="24"/>
        </w:rPr>
        <w:footnoteReference w:id="31"/>
      </w:r>
      <w:r w:rsidR="007A7049" w:rsidRPr="00424846">
        <w:rPr>
          <w:rFonts w:ascii="Arial" w:hAnsi="Arial" w:cs="Arial"/>
          <w:sz w:val="24"/>
          <w:szCs w:val="24"/>
        </w:rPr>
        <w:t>, suggesting</w:t>
      </w:r>
      <w:r w:rsidR="006C45D6" w:rsidRPr="00424846">
        <w:rPr>
          <w:rFonts w:ascii="Arial" w:hAnsi="Arial" w:cs="Arial"/>
          <w:sz w:val="24"/>
          <w:szCs w:val="24"/>
        </w:rPr>
        <w:t xml:space="preserve"> </w:t>
      </w:r>
      <w:r w:rsidR="007A7049" w:rsidRPr="00424846">
        <w:rPr>
          <w:rFonts w:ascii="Arial" w:hAnsi="Arial" w:cs="Arial"/>
          <w:sz w:val="24"/>
          <w:szCs w:val="24"/>
        </w:rPr>
        <w:t>a ban</w:t>
      </w:r>
      <w:r w:rsidR="0043102C" w:rsidRPr="00424846">
        <w:rPr>
          <w:rFonts w:ascii="Arial" w:hAnsi="Arial" w:cs="Arial"/>
          <w:sz w:val="24"/>
          <w:szCs w:val="24"/>
        </w:rPr>
        <w:t xml:space="preserve">, </w:t>
      </w:r>
      <w:r w:rsidR="007A7049" w:rsidRPr="00424846">
        <w:rPr>
          <w:rFonts w:ascii="Arial" w:hAnsi="Arial" w:cs="Arial"/>
          <w:sz w:val="24"/>
          <w:szCs w:val="24"/>
        </w:rPr>
        <w:t>and</w:t>
      </w:r>
      <w:r w:rsidR="00A52F38" w:rsidRPr="00424846">
        <w:rPr>
          <w:rFonts w:ascii="Arial" w:hAnsi="Arial" w:cs="Arial"/>
          <w:sz w:val="24"/>
          <w:szCs w:val="24"/>
        </w:rPr>
        <w:t xml:space="preserve"> </w:t>
      </w:r>
      <w:r w:rsidR="0043102C" w:rsidRPr="00424846">
        <w:rPr>
          <w:rFonts w:ascii="Arial" w:hAnsi="Arial" w:cs="Arial"/>
          <w:sz w:val="24"/>
          <w:szCs w:val="24"/>
        </w:rPr>
        <w:t xml:space="preserve">the </w:t>
      </w:r>
      <w:r w:rsidR="00A52F38" w:rsidRPr="00424846">
        <w:rPr>
          <w:rFonts w:ascii="Arial" w:hAnsi="Arial" w:cs="Arial"/>
          <w:sz w:val="24"/>
          <w:szCs w:val="24"/>
        </w:rPr>
        <w:t xml:space="preserve">Major-General </w:t>
      </w:r>
      <w:r w:rsidR="0043102C" w:rsidRPr="00424846">
        <w:rPr>
          <w:rFonts w:ascii="Arial" w:hAnsi="Arial" w:cs="Arial"/>
          <w:sz w:val="24"/>
          <w:szCs w:val="24"/>
        </w:rPr>
        <w:t>of the time</w:t>
      </w:r>
      <w:r w:rsidR="007A7049" w:rsidRPr="00424846">
        <w:rPr>
          <w:rFonts w:ascii="Arial" w:hAnsi="Arial" w:cs="Arial"/>
          <w:sz w:val="24"/>
          <w:szCs w:val="24"/>
        </w:rPr>
        <w:t xml:space="preserve"> agreed, </w:t>
      </w:r>
      <w:r w:rsidR="00A52F38" w:rsidRPr="00424846">
        <w:rPr>
          <w:rFonts w:ascii="Arial" w:hAnsi="Arial" w:cs="Arial"/>
          <w:sz w:val="24"/>
          <w:szCs w:val="24"/>
        </w:rPr>
        <w:t>consider</w:t>
      </w:r>
      <w:r w:rsidR="007A7049" w:rsidRPr="00424846">
        <w:rPr>
          <w:rFonts w:ascii="Arial" w:hAnsi="Arial" w:cs="Arial"/>
          <w:sz w:val="24"/>
          <w:szCs w:val="24"/>
        </w:rPr>
        <w:t>ing</w:t>
      </w:r>
      <w:r w:rsidR="00A52F38" w:rsidRPr="00424846">
        <w:rPr>
          <w:rFonts w:ascii="Arial" w:hAnsi="Arial" w:cs="Arial"/>
          <w:sz w:val="24"/>
          <w:szCs w:val="24"/>
        </w:rPr>
        <w:t xml:space="preserve"> it ‘contrary to reason and </w:t>
      </w:r>
      <w:r w:rsidR="00A52F38" w:rsidRPr="00424846">
        <w:rPr>
          <w:rFonts w:ascii="Arial" w:hAnsi="Arial" w:cs="Arial"/>
          <w:sz w:val="24"/>
          <w:szCs w:val="24"/>
        </w:rPr>
        <w:lastRenderedPageBreak/>
        <w:t>humanity’</w:t>
      </w:r>
      <w:r w:rsidR="00A52F38" w:rsidRPr="00424846">
        <w:rPr>
          <w:rStyle w:val="FootnoteReference"/>
          <w:rFonts w:ascii="Arial" w:hAnsi="Arial" w:cs="Arial"/>
          <w:sz w:val="24"/>
          <w:szCs w:val="24"/>
        </w:rPr>
        <w:footnoteReference w:id="32"/>
      </w:r>
      <w:r w:rsidR="00F1790F" w:rsidRPr="00424846">
        <w:rPr>
          <w:rFonts w:ascii="Arial" w:hAnsi="Arial" w:cs="Arial"/>
          <w:sz w:val="24"/>
          <w:szCs w:val="24"/>
        </w:rPr>
        <w:t>.                           A</w:t>
      </w:r>
      <w:r w:rsidR="0020045E" w:rsidRPr="00424846">
        <w:rPr>
          <w:rFonts w:ascii="Arial" w:hAnsi="Arial" w:cs="Arial"/>
          <w:sz w:val="24"/>
          <w:szCs w:val="24"/>
        </w:rPr>
        <w:t xml:space="preserve">nswering the dissertation question, as </w:t>
      </w:r>
      <w:r w:rsidR="00540BF6" w:rsidRPr="00424846">
        <w:rPr>
          <w:rFonts w:ascii="Arial" w:hAnsi="Arial" w:cs="Arial"/>
          <w:sz w:val="24"/>
          <w:szCs w:val="24"/>
        </w:rPr>
        <w:t xml:space="preserve">the accounts of </w:t>
      </w:r>
      <w:r w:rsidR="0020045E" w:rsidRPr="00424846">
        <w:rPr>
          <w:rFonts w:ascii="Arial" w:hAnsi="Arial" w:cs="Arial"/>
          <w:sz w:val="24"/>
          <w:szCs w:val="24"/>
        </w:rPr>
        <w:t>leaders, philosophers and legal practitioners indicat</w:t>
      </w:r>
      <w:r w:rsidR="00540BF6" w:rsidRPr="00424846">
        <w:rPr>
          <w:rFonts w:ascii="Arial" w:hAnsi="Arial" w:cs="Arial"/>
          <w:sz w:val="24"/>
          <w:szCs w:val="24"/>
        </w:rPr>
        <w:t>ing</w:t>
      </w:r>
      <w:r w:rsidR="0020045E" w:rsidRPr="00424846">
        <w:rPr>
          <w:rFonts w:ascii="Arial" w:hAnsi="Arial" w:cs="Arial"/>
          <w:sz w:val="24"/>
          <w:szCs w:val="24"/>
        </w:rPr>
        <w:t xml:space="preserve"> its ineffectiveness and abhorrence</w:t>
      </w:r>
      <w:r w:rsidR="00540BF6" w:rsidRPr="00424846">
        <w:rPr>
          <w:rFonts w:ascii="Arial" w:hAnsi="Arial" w:cs="Arial"/>
          <w:sz w:val="24"/>
          <w:szCs w:val="24"/>
        </w:rPr>
        <w:t>, are clear</w:t>
      </w:r>
      <w:r w:rsidR="0020045E" w:rsidRPr="00424846">
        <w:rPr>
          <w:rFonts w:ascii="Arial" w:hAnsi="Arial" w:cs="Arial"/>
          <w:sz w:val="24"/>
          <w:szCs w:val="24"/>
        </w:rPr>
        <w:t xml:space="preserve"> reason</w:t>
      </w:r>
      <w:r w:rsidR="00D656AC" w:rsidRPr="00424846">
        <w:rPr>
          <w:rFonts w:ascii="Arial" w:hAnsi="Arial" w:cs="Arial"/>
          <w:sz w:val="24"/>
          <w:szCs w:val="24"/>
        </w:rPr>
        <w:t>s</w:t>
      </w:r>
      <w:r w:rsidR="0020045E" w:rsidRPr="00424846">
        <w:rPr>
          <w:rFonts w:ascii="Arial" w:hAnsi="Arial" w:cs="Arial"/>
          <w:sz w:val="24"/>
          <w:szCs w:val="24"/>
        </w:rPr>
        <w:t xml:space="preserve"> </w:t>
      </w:r>
      <w:r w:rsidR="00540BF6" w:rsidRPr="00424846">
        <w:rPr>
          <w:rFonts w:ascii="Arial" w:hAnsi="Arial" w:cs="Arial"/>
          <w:sz w:val="24"/>
          <w:szCs w:val="24"/>
        </w:rPr>
        <w:t xml:space="preserve">for why our current evidential law is better suited without torture. </w:t>
      </w:r>
    </w:p>
    <w:p w14:paraId="00E05FB1" w14:textId="00D34DF8" w:rsidR="0043102C" w:rsidRPr="00424846" w:rsidRDefault="0043102C" w:rsidP="00862139">
      <w:pPr>
        <w:spacing w:line="480" w:lineRule="auto"/>
        <w:jc w:val="both"/>
        <w:rPr>
          <w:rFonts w:ascii="Arial" w:hAnsi="Arial" w:cs="Arial"/>
          <w:sz w:val="24"/>
          <w:szCs w:val="24"/>
        </w:rPr>
      </w:pPr>
      <w:r w:rsidRPr="00424846">
        <w:rPr>
          <w:rFonts w:ascii="Arial" w:hAnsi="Arial" w:cs="Arial"/>
          <w:sz w:val="24"/>
          <w:szCs w:val="24"/>
        </w:rPr>
        <w:t xml:space="preserve">Ultimately, </w:t>
      </w:r>
      <w:r w:rsidR="007C4523" w:rsidRPr="00424846">
        <w:rPr>
          <w:rFonts w:ascii="Arial" w:hAnsi="Arial" w:cs="Arial"/>
          <w:sz w:val="24"/>
          <w:szCs w:val="24"/>
        </w:rPr>
        <w:t xml:space="preserve">due to </w:t>
      </w:r>
      <w:r w:rsidR="00A65BC7" w:rsidRPr="00424846">
        <w:rPr>
          <w:rFonts w:ascii="Arial" w:hAnsi="Arial" w:cs="Arial"/>
          <w:sz w:val="24"/>
          <w:szCs w:val="24"/>
        </w:rPr>
        <w:t>Voltaire</w:t>
      </w:r>
      <w:r w:rsidR="007C4523" w:rsidRPr="00424846">
        <w:rPr>
          <w:rFonts w:ascii="Arial" w:hAnsi="Arial" w:cs="Arial"/>
          <w:sz w:val="24"/>
          <w:szCs w:val="24"/>
        </w:rPr>
        <w:t>’s</w:t>
      </w:r>
      <w:r w:rsidR="00A65BC7" w:rsidRPr="00424846">
        <w:rPr>
          <w:rFonts w:ascii="Arial" w:hAnsi="Arial" w:cs="Arial"/>
          <w:sz w:val="24"/>
          <w:szCs w:val="24"/>
        </w:rPr>
        <w:t xml:space="preserve"> and other</w:t>
      </w:r>
      <w:r w:rsidR="007C4523" w:rsidRPr="00424846">
        <w:rPr>
          <w:rFonts w:ascii="Arial" w:hAnsi="Arial" w:cs="Arial"/>
          <w:sz w:val="24"/>
          <w:szCs w:val="24"/>
        </w:rPr>
        <w:t xml:space="preserve">s </w:t>
      </w:r>
      <w:r w:rsidR="00A65BC7" w:rsidRPr="00424846">
        <w:rPr>
          <w:rFonts w:ascii="Arial" w:hAnsi="Arial" w:cs="Arial"/>
          <w:sz w:val="24"/>
          <w:szCs w:val="24"/>
        </w:rPr>
        <w:t>account</w:t>
      </w:r>
      <w:r w:rsidRPr="00424846">
        <w:rPr>
          <w:rFonts w:ascii="Arial" w:hAnsi="Arial" w:cs="Arial"/>
          <w:sz w:val="24"/>
          <w:szCs w:val="24"/>
        </w:rPr>
        <w:t xml:space="preserve">, </w:t>
      </w:r>
      <w:r w:rsidR="00A65BC7" w:rsidRPr="00424846">
        <w:rPr>
          <w:rFonts w:ascii="Arial" w:hAnsi="Arial" w:cs="Arial"/>
          <w:sz w:val="24"/>
          <w:szCs w:val="24"/>
        </w:rPr>
        <w:t>coupled with the rapid growth of the Humanism theory in the 17th century and the 1689 English Bill of Rights</w:t>
      </w:r>
      <w:r w:rsidR="00A65BC7" w:rsidRPr="00424846">
        <w:rPr>
          <w:rStyle w:val="FootnoteReference"/>
          <w:rFonts w:ascii="Arial" w:hAnsi="Arial" w:cs="Arial"/>
          <w:sz w:val="24"/>
          <w:szCs w:val="24"/>
        </w:rPr>
        <w:footnoteReference w:id="33"/>
      </w:r>
      <w:r w:rsidR="00A65BC7" w:rsidRPr="00424846">
        <w:rPr>
          <w:rFonts w:ascii="Arial" w:hAnsi="Arial" w:cs="Arial"/>
          <w:sz w:val="24"/>
          <w:szCs w:val="24"/>
        </w:rPr>
        <w:t xml:space="preserve">, </w:t>
      </w:r>
      <w:r w:rsidR="00742919" w:rsidRPr="00424846">
        <w:rPr>
          <w:rFonts w:ascii="Arial" w:hAnsi="Arial" w:cs="Arial"/>
          <w:sz w:val="24"/>
          <w:szCs w:val="24"/>
        </w:rPr>
        <w:t xml:space="preserve">torture </w:t>
      </w:r>
      <w:r w:rsidR="007C4523" w:rsidRPr="00424846">
        <w:rPr>
          <w:rFonts w:ascii="Arial" w:hAnsi="Arial" w:cs="Arial"/>
          <w:sz w:val="24"/>
          <w:szCs w:val="24"/>
        </w:rPr>
        <w:t>was</w:t>
      </w:r>
      <w:r w:rsidRPr="00424846">
        <w:rPr>
          <w:rFonts w:ascii="Arial" w:hAnsi="Arial" w:cs="Arial"/>
          <w:sz w:val="24"/>
          <w:szCs w:val="24"/>
        </w:rPr>
        <w:t xml:space="preserve"> </w:t>
      </w:r>
      <w:r w:rsidR="00742919" w:rsidRPr="00424846">
        <w:rPr>
          <w:rFonts w:ascii="Arial" w:hAnsi="Arial" w:cs="Arial"/>
          <w:sz w:val="24"/>
          <w:szCs w:val="24"/>
        </w:rPr>
        <w:t>abolished</w:t>
      </w:r>
      <w:r w:rsidR="004F0117" w:rsidRPr="00424846">
        <w:rPr>
          <w:rStyle w:val="FootnoteReference"/>
          <w:rFonts w:ascii="Arial" w:hAnsi="Arial" w:cs="Arial"/>
          <w:sz w:val="24"/>
          <w:szCs w:val="24"/>
        </w:rPr>
        <w:footnoteReference w:id="34"/>
      </w:r>
      <w:r w:rsidR="00742919" w:rsidRPr="00424846">
        <w:rPr>
          <w:rFonts w:ascii="Arial" w:hAnsi="Arial" w:cs="Arial"/>
          <w:sz w:val="24"/>
          <w:szCs w:val="24"/>
        </w:rPr>
        <w:t xml:space="preserve">. </w:t>
      </w:r>
    </w:p>
    <w:p w14:paraId="7985BF0F" w14:textId="370A21BE" w:rsidR="002003E9" w:rsidRPr="00424846" w:rsidRDefault="0043102C" w:rsidP="00862139">
      <w:pPr>
        <w:spacing w:line="480" w:lineRule="auto"/>
        <w:jc w:val="both"/>
        <w:rPr>
          <w:rFonts w:ascii="Arial" w:hAnsi="Arial" w:cs="Arial"/>
          <w:sz w:val="24"/>
          <w:szCs w:val="24"/>
        </w:rPr>
      </w:pPr>
      <w:r w:rsidRPr="00424846">
        <w:rPr>
          <w:rFonts w:ascii="Arial" w:hAnsi="Arial" w:cs="Arial"/>
          <w:sz w:val="24"/>
          <w:szCs w:val="24"/>
        </w:rPr>
        <w:t>I</w:t>
      </w:r>
      <w:r w:rsidR="002003E9" w:rsidRPr="00424846">
        <w:rPr>
          <w:rFonts w:ascii="Arial" w:hAnsi="Arial" w:cs="Arial"/>
          <w:sz w:val="24"/>
          <w:szCs w:val="24"/>
        </w:rPr>
        <w:t xml:space="preserve">n Graefe’s book, </w:t>
      </w:r>
      <w:r w:rsidR="007759C2" w:rsidRPr="00424846">
        <w:rPr>
          <w:rFonts w:ascii="Arial" w:hAnsi="Arial" w:cs="Arial"/>
          <w:i/>
          <w:iCs/>
          <w:sz w:val="24"/>
          <w:szCs w:val="24"/>
        </w:rPr>
        <w:t>Tribunal Reformation</w:t>
      </w:r>
      <w:r w:rsidR="00EA20CF" w:rsidRPr="00424846">
        <w:rPr>
          <w:rStyle w:val="FootnoteReference"/>
          <w:rFonts w:ascii="Arial" w:hAnsi="Arial" w:cs="Arial"/>
          <w:i/>
          <w:iCs/>
          <w:sz w:val="24"/>
          <w:szCs w:val="24"/>
        </w:rPr>
        <w:footnoteReference w:id="35"/>
      </w:r>
      <w:r w:rsidR="007759C2" w:rsidRPr="00424846">
        <w:rPr>
          <w:rFonts w:ascii="Arial" w:hAnsi="Arial" w:cs="Arial"/>
          <w:sz w:val="24"/>
          <w:szCs w:val="24"/>
        </w:rPr>
        <w:t>, and</w:t>
      </w:r>
      <w:r w:rsidR="002003E9" w:rsidRPr="00424846">
        <w:rPr>
          <w:rFonts w:ascii="Arial" w:hAnsi="Arial" w:cs="Arial"/>
          <w:sz w:val="24"/>
          <w:szCs w:val="24"/>
        </w:rPr>
        <w:t xml:space="preserve"> </w:t>
      </w:r>
      <w:r w:rsidR="007759C2" w:rsidRPr="00424846">
        <w:rPr>
          <w:rFonts w:ascii="Arial" w:hAnsi="Arial" w:cs="Arial"/>
          <w:sz w:val="24"/>
          <w:szCs w:val="24"/>
        </w:rPr>
        <w:t>Baccaria</w:t>
      </w:r>
      <w:r w:rsidR="002003E9" w:rsidRPr="00424846">
        <w:rPr>
          <w:rFonts w:ascii="Arial" w:hAnsi="Arial" w:cs="Arial"/>
          <w:sz w:val="24"/>
          <w:szCs w:val="24"/>
        </w:rPr>
        <w:t>’s</w:t>
      </w:r>
      <w:r w:rsidR="00B41F16" w:rsidRPr="00424846">
        <w:rPr>
          <w:rFonts w:ascii="Arial" w:hAnsi="Arial" w:cs="Arial"/>
          <w:sz w:val="24"/>
          <w:szCs w:val="24"/>
        </w:rPr>
        <w:t xml:space="preserve"> essay</w:t>
      </w:r>
      <w:r w:rsidR="002003E9" w:rsidRPr="00424846">
        <w:rPr>
          <w:rFonts w:ascii="Arial" w:hAnsi="Arial" w:cs="Arial"/>
          <w:sz w:val="24"/>
          <w:szCs w:val="24"/>
        </w:rPr>
        <w:t xml:space="preserve">, </w:t>
      </w:r>
      <w:r w:rsidR="002003E9" w:rsidRPr="00424846">
        <w:rPr>
          <w:rFonts w:ascii="Arial" w:hAnsi="Arial" w:cs="Arial"/>
          <w:i/>
          <w:iCs/>
          <w:sz w:val="24"/>
          <w:szCs w:val="24"/>
        </w:rPr>
        <w:t>C</w:t>
      </w:r>
      <w:r w:rsidR="00B41F16" w:rsidRPr="00424846">
        <w:rPr>
          <w:rFonts w:ascii="Arial" w:hAnsi="Arial" w:cs="Arial"/>
          <w:i/>
          <w:iCs/>
          <w:sz w:val="24"/>
          <w:szCs w:val="24"/>
        </w:rPr>
        <w:t xml:space="preserve">rime and </w:t>
      </w:r>
      <w:r w:rsidR="002003E9" w:rsidRPr="00424846">
        <w:rPr>
          <w:rFonts w:ascii="Arial" w:hAnsi="Arial" w:cs="Arial"/>
          <w:i/>
          <w:iCs/>
          <w:sz w:val="24"/>
          <w:szCs w:val="24"/>
        </w:rPr>
        <w:t>P</w:t>
      </w:r>
      <w:r w:rsidR="00B41F16" w:rsidRPr="00424846">
        <w:rPr>
          <w:rFonts w:ascii="Arial" w:hAnsi="Arial" w:cs="Arial"/>
          <w:i/>
          <w:iCs/>
          <w:sz w:val="24"/>
          <w:szCs w:val="24"/>
        </w:rPr>
        <w:t>unishment</w:t>
      </w:r>
      <w:r w:rsidR="00EA20CF" w:rsidRPr="00424846">
        <w:rPr>
          <w:rStyle w:val="FootnoteReference"/>
          <w:rFonts w:ascii="Arial" w:hAnsi="Arial" w:cs="Arial"/>
          <w:i/>
          <w:iCs/>
          <w:sz w:val="24"/>
          <w:szCs w:val="24"/>
        </w:rPr>
        <w:footnoteReference w:id="36"/>
      </w:r>
      <w:r w:rsidR="00B41F16" w:rsidRPr="00424846">
        <w:rPr>
          <w:rFonts w:ascii="Arial" w:hAnsi="Arial" w:cs="Arial"/>
          <w:sz w:val="24"/>
          <w:szCs w:val="24"/>
        </w:rPr>
        <w:t xml:space="preserve">, </w:t>
      </w:r>
      <w:r w:rsidR="002003E9" w:rsidRPr="00424846">
        <w:rPr>
          <w:rFonts w:ascii="Arial" w:hAnsi="Arial" w:cs="Arial"/>
          <w:sz w:val="24"/>
          <w:szCs w:val="24"/>
        </w:rPr>
        <w:t xml:space="preserve">both add on to Voltaire’s criticism of, half proofs being only half true, by arguing </w:t>
      </w:r>
      <w:r w:rsidR="00041643" w:rsidRPr="00424846">
        <w:rPr>
          <w:rFonts w:ascii="Arial" w:hAnsi="Arial" w:cs="Arial"/>
          <w:sz w:val="24"/>
          <w:szCs w:val="24"/>
        </w:rPr>
        <w:t>that, since it is only half true, it should be unnecessary, especially</w:t>
      </w:r>
      <w:r w:rsidRPr="00424846">
        <w:rPr>
          <w:rFonts w:ascii="Arial" w:hAnsi="Arial" w:cs="Arial"/>
          <w:sz w:val="24"/>
          <w:szCs w:val="24"/>
        </w:rPr>
        <w:t>, considering</w:t>
      </w:r>
      <w:r w:rsidR="00041643" w:rsidRPr="00424846">
        <w:rPr>
          <w:rFonts w:ascii="Arial" w:hAnsi="Arial" w:cs="Arial"/>
          <w:sz w:val="24"/>
          <w:szCs w:val="24"/>
        </w:rPr>
        <w:t xml:space="preserve"> </w:t>
      </w:r>
      <w:r w:rsidR="0022558E" w:rsidRPr="00424846">
        <w:rPr>
          <w:rFonts w:ascii="Arial" w:hAnsi="Arial" w:cs="Arial"/>
          <w:sz w:val="24"/>
          <w:szCs w:val="24"/>
        </w:rPr>
        <w:t>‘</w:t>
      </w:r>
      <w:r w:rsidR="00041643" w:rsidRPr="00424846">
        <w:rPr>
          <w:rFonts w:ascii="Arial" w:hAnsi="Arial" w:cs="Arial"/>
          <w:sz w:val="24"/>
          <w:szCs w:val="24"/>
        </w:rPr>
        <w:t>corroborating evidence is virtually certain</w:t>
      </w:r>
      <w:r w:rsidR="0022558E" w:rsidRPr="00424846">
        <w:rPr>
          <w:rFonts w:ascii="Arial" w:hAnsi="Arial" w:cs="Arial"/>
          <w:sz w:val="24"/>
          <w:szCs w:val="24"/>
        </w:rPr>
        <w:t>’</w:t>
      </w:r>
      <w:r w:rsidR="00EA20CF" w:rsidRPr="00424846">
        <w:rPr>
          <w:rStyle w:val="FootnoteReference"/>
          <w:rFonts w:ascii="Arial" w:hAnsi="Arial" w:cs="Arial"/>
          <w:sz w:val="24"/>
          <w:szCs w:val="24"/>
        </w:rPr>
        <w:footnoteReference w:id="37"/>
      </w:r>
      <w:r w:rsidR="00041643" w:rsidRPr="00424846">
        <w:rPr>
          <w:rFonts w:ascii="Arial" w:hAnsi="Arial" w:cs="Arial"/>
          <w:sz w:val="24"/>
          <w:szCs w:val="24"/>
        </w:rPr>
        <w:t xml:space="preserve">. </w:t>
      </w:r>
      <w:r w:rsidR="00242EB1" w:rsidRPr="00424846">
        <w:rPr>
          <w:rFonts w:ascii="Arial" w:hAnsi="Arial" w:cs="Arial"/>
          <w:sz w:val="24"/>
          <w:szCs w:val="24"/>
        </w:rPr>
        <w:t>Beccaria also criticises torture from the utilitarian perspectiv</w:t>
      </w:r>
      <w:r w:rsidRPr="00424846">
        <w:rPr>
          <w:rFonts w:ascii="Arial" w:hAnsi="Arial" w:cs="Arial"/>
          <w:sz w:val="24"/>
          <w:szCs w:val="24"/>
        </w:rPr>
        <w:t>e Bentham uses to support JT</w:t>
      </w:r>
      <w:r w:rsidR="00242EB1" w:rsidRPr="00424846">
        <w:rPr>
          <w:rFonts w:ascii="Arial" w:hAnsi="Arial" w:cs="Arial"/>
          <w:sz w:val="24"/>
          <w:szCs w:val="24"/>
        </w:rPr>
        <w:t xml:space="preserve">, arguing that the act of torture does not produce the best possible outcome for the most people, considering it results in inaccurate </w:t>
      </w:r>
      <w:r w:rsidRPr="00424846">
        <w:rPr>
          <w:rFonts w:ascii="Arial" w:hAnsi="Arial" w:cs="Arial"/>
          <w:sz w:val="24"/>
          <w:szCs w:val="24"/>
        </w:rPr>
        <w:t xml:space="preserve">information </w:t>
      </w:r>
      <w:r w:rsidR="00242EB1" w:rsidRPr="00424846">
        <w:rPr>
          <w:rFonts w:ascii="Arial" w:hAnsi="Arial" w:cs="Arial"/>
          <w:sz w:val="24"/>
          <w:szCs w:val="24"/>
        </w:rPr>
        <w:t>and</w:t>
      </w:r>
      <w:r w:rsidRPr="00424846">
        <w:rPr>
          <w:rFonts w:ascii="Arial" w:hAnsi="Arial" w:cs="Arial"/>
          <w:sz w:val="24"/>
          <w:szCs w:val="24"/>
        </w:rPr>
        <w:t>, in Beccaria’s words, ‘perverts the will of the accused’</w:t>
      </w:r>
      <w:r w:rsidR="00C66780" w:rsidRPr="00424846">
        <w:rPr>
          <w:rStyle w:val="FootnoteReference"/>
          <w:rFonts w:ascii="Arial" w:hAnsi="Arial" w:cs="Arial"/>
          <w:sz w:val="24"/>
          <w:szCs w:val="24"/>
        </w:rPr>
        <w:footnoteReference w:id="38"/>
      </w:r>
      <w:r w:rsidRPr="00424846">
        <w:rPr>
          <w:rFonts w:ascii="Arial" w:hAnsi="Arial" w:cs="Arial"/>
          <w:sz w:val="24"/>
          <w:szCs w:val="24"/>
        </w:rPr>
        <w:t>, resulting in a miscarriage of justice</w:t>
      </w:r>
      <w:r w:rsidR="00D656AC" w:rsidRPr="00424846">
        <w:rPr>
          <w:rFonts w:ascii="Arial" w:hAnsi="Arial" w:cs="Arial"/>
          <w:sz w:val="24"/>
          <w:szCs w:val="24"/>
        </w:rPr>
        <w:t>, not beneficial to the public</w:t>
      </w:r>
      <w:r w:rsidRPr="00424846">
        <w:rPr>
          <w:rFonts w:ascii="Arial" w:hAnsi="Arial" w:cs="Arial"/>
          <w:sz w:val="24"/>
          <w:szCs w:val="24"/>
        </w:rPr>
        <w:t xml:space="preserve">. </w:t>
      </w:r>
      <w:r w:rsidR="00CD4B12" w:rsidRPr="00424846">
        <w:rPr>
          <w:rFonts w:ascii="Arial" w:hAnsi="Arial" w:cs="Arial"/>
          <w:sz w:val="24"/>
          <w:szCs w:val="24"/>
        </w:rPr>
        <w:t xml:space="preserve">Beccaria’s stance against JT is, however, undermined by </w:t>
      </w:r>
      <w:r w:rsidR="00137CF0" w:rsidRPr="00424846">
        <w:rPr>
          <w:rFonts w:ascii="Arial" w:hAnsi="Arial" w:cs="Arial"/>
          <w:sz w:val="24"/>
          <w:szCs w:val="24"/>
        </w:rPr>
        <w:t>his point that in rare instances it should be used by the court, when they see fit and in a proportionate way</w:t>
      </w:r>
      <w:r w:rsidR="002F1258" w:rsidRPr="00424846">
        <w:rPr>
          <w:rStyle w:val="FootnoteReference"/>
          <w:rFonts w:ascii="Arial" w:hAnsi="Arial" w:cs="Arial"/>
          <w:sz w:val="24"/>
          <w:szCs w:val="24"/>
        </w:rPr>
        <w:footnoteReference w:id="39"/>
      </w:r>
      <w:r w:rsidR="00137CF0" w:rsidRPr="00424846">
        <w:rPr>
          <w:rFonts w:ascii="Arial" w:hAnsi="Arial" w:cs="Arial"/>
          <w:sz w:val="24"/>
          <w:szCs w:val="24"/>
        </w:rPr>
        <w:t xml:space="preserve">. </w:t>
      </w:r>
    </w:p>
    <w:p w14:paraId="67AF0766" w14:textId="53231FA0" w:rsidR="00BC158E" w:rsidRPr="00424846" w:rsidRDefault="008D0D5F" w:rsidP="00862139">
      <w:pPr>
        <w:spacing w:line="480" w:lineRule="auto"/>
        <w:jc w:val="both"/>
        <w:rPr>
          <w:rFonts w:ascii="Arial" w:hAnsi="Arial" w:cs="Arial"/>
          <w:sz w:val="24"/>
          <w:szCs w:val="24"/>
        </w:rPr>
      </w:pPr>
      <w:r w:rsidRPr="00424846">
        <w:rPr>
          <w:rFonts w:ascii="Arial" w:hAnsi="Arial" w:cs="Arial"/>
          <w:sz w:val="24"/>
          <w:szCs w:val="24"/>
        </w:rPr>
        <w:t>Langbien criticises the argument</w:t>
      </w:r>
      <w:r w:rsidR="00BC158E" w:rsidRPr="00424846">
        <w:rPr>
          <w:rFonts w:ascii="Arial" w:hAnsi="Arial" w:cs="Arial"/>
          <w:sz w:val="24"/>
          <w:szCs w:val="24"/>
        </w:rPr>
        <w:t xml:space="preserve">, </w:t>
      </w:r>
      <w:r w:rsidRPr="00424846">
        <w:rPr>
          <w:rFonts w:ascii="Arial" w:hAnsi="Arial" w:cs="Arial"/>
          <w:sz w:val="24"/>
          <w:szCs w:val="24"/>
        </w:rPr>
        <w:t xml:space="preserve">that it was </w:t>
      </w:r>
      <w:r w:rsidR="00EA20CF" w:rsidRPr="00424846">
        <w:rPr>
          <w:rFonts w:ascii="Arial" w:hAnsi="Arial" w:cs="Arial"/>
          <w:sz w:val="24"/>
          <w:szCs w:val="24"/>
        </w:rPr>
        <w:t xml:space="preserve">the work of </w:t>
      </w:r>
      <w:r w:rsidRPr="00424846">
        <w:rPr>
          <w:rFonts w:ascii="Arial" w:hAnsi="Arial" w:cs="Arial"/>
          <w:sz w:val="24"/>
          <w:szCs w:val="24"/>
        </w:rPr>
        <w:t>these theological and legal thinkers that</w:t>
      </w:r>
      <w:r w:rsidR="00EA20CF" w:rsidRPr="00424846">
        <w:rPr>
          <w:rFonts w:ascii="Arial" w:hAnsi="Arial" w:cs="Arial"/>
          <w:sz w:val="24"/>
          <w:szCs w:val="24"/>
        </w:rPr>
        <w:t xml:space="preserve">, ultimately, led to the abolishment of JT and adoption of jury trials. He argues that, since these accounts of injustice, like the case of Jean Calas and many </w:t>
      </w:r>
      <w:r w:rsidR="00EA20CF" w:rsidRPr="00424846">
        <w:rPr>
          <w:rFonts w:ascii="Arial" w:hAnsi="Arial" w:cs="Arial"/>
          <w:sz w:val="24"/>
          <w:szCs w:val="24"/>
        </w:rPr>
        <w:lastRenderedPageBreak/>
        <w:t>more, had been widely known and accepted for decades</w:t>
      </w:r>
      <w:r w:rsidR="008F7D2E" w:rsidRPr="00424846">
        <w:rPr>
          <w:rFonts w:ascii="Arial" w:hAnsi="Arial" w:cs="Arial"/>
          <w:sz w:val="24"/>
          <w:szCs w:val="24"/>
        </w:rPr>
        <w:t xml:space="preserve">, he </w:t>
      </w:r>
      <w:r w:rsidR="0043102C" w:rsidRPr="00424846">
        <w:rPr>
          <w:rFonts w:ascii="Arial" w:hAnsi="Arial" w:cs="Arial"/>
          <w:sz w:val="24"/>
          <w:szCs w:val="24"/>
        </w:rPr>
        <w:t>contends</w:t>
      </w:r>
      <w:r w:rsidR="008F7D2E" w:rsidRPr="00424846">
        <w:rPr>
          <w:rFonts w:ascii="Arial" w:hAnsi="Arial" w:cs="Arial"/>
          <w:sz w:val="24"/>
          <w:szCs w:val="24"/>
        </w:rPr>
        <w:t xml:space="preserve">, along with Foucault, that the change can be attributed mostly to </w:t>
      </w:r>
      <w:r w:rsidR="00D7392B" w:rsidRPr="00424846">
        <w:rPr>
          <w:rFonts w:ascii="Arial" w:hAnsi="Arial" w:cs="Arial"/>
          <w:sz w:val="24"/>
          <w:szCs w:val="24"/>
        </w:rPr>
        <w:t>‘the development of a system of free judicial evaluation of evidence’</w:t>
      </w:r>
      <w:r w:rsidR="00D7392B" w:rsidRPr="00424846">
        <w:rPr>
          <w:rStyle w:val="FootnoteReference"/>
          <w:rFonts w:ascii="Arial" w:hAnsi="Arial" w:cs="Arial"/>
          <w:sz w:val="24"/>
          <w:szCs w:val="24"/>
        </w:rPr>
        <w:footnoteReference w:id="40"/>
      </w:r>
      <w:r w:rsidR="00D7392B" w:rsidRPr="00424846">
        <w:rPr>
          <w:rFonts w:ascii="Arial" w:hAnsi="Arial" w:cs="Arial"/>
          <w:sz w:val="24"/>
          <w:szCs w:val="24"/>
        </w:rPr>
        <w:t xml:space="preserve"> which rendered torture as a law of proof unnecessary. Foucault</w:t>
      </w:r>
      <w:r w:rsidR="00D25C7A" w:rsidRPr="00424846">
        <w:rPr>
          <w:rFonts w:ascii="Arial" w:hAnsi="Arial" w:cs="Arial"/>
          <w:sz w:val="24"/>
          <w:szCs w:val="24"/>
        </w:rPr>
        <w:t xml:space="preserve"> further states</w:t>
      </w:r>
      <w:r w:rsidR="00D7392B" w:rsidRPr="00424846">
        <w:rPr>
          <w:rFonts w:ascii="Arial" w:hAnsi="Arial" w:cs="Arial"/>
          <w:sz w:val="24"/>
          <w:szCs w:val="24"/>
        </w:rPr>
        <w:t xml:space="preserve">, </w:t>
      </w:r>
      <w:r w:rsidR="00D25C7A" w:rsidRPr="00424846">
        <w:rPr>
          <w:rFonts w:ascii="Arial" w:hAnsi="Arial" w:cs="Arial"/>
          <w:sz w:val="24"/>
          <w:szCs w:val="24"/>
        </w:rPr>
        <w:t xml:space="preserve">that </w:t>
      </w:r>
      <w:r w:rsidR="00D7392B" w:rsidRPr="00424846">
        <w:rPr>
          <w:rFonts w:ascii="Arial" w:hAnsi="Arial" w:cs="Arial"/>
          <w:sz w:val="24"/>
          <w:szCs w:val="24"/>
        </w:rPr>
        <w:t>the change from torture to jury had only partly derived from the collective change of conscience, but</w:t>
      </w:r>
      <w:r w:rsidR="00D25C7A" w:rsidRPr="00424846">
        <w:rPr>
          <w:rFonts w:ascii="Arial" w:hAnsi="Arial" w:cs="Arial"/>
          <w:sz w:val="24"/>
          <w:szCs w:val="24"/>
        </w:rPr>
        <w:t xml:space="preserve">, </w:t>
      </w:r>
      <w:r w:rsidR="00D7392B" w:rsidRPr="00424846">
        <w:rPr>
          <w:rFonts w:ascii="Arial" w:hAnsi="Arial" w:cs="Arial"/>
          <w:sz w:val="24"/>
          <w:szCs w:val="24"/>
        </w:rPr>
        <w:t>primarily derived from a ‘shift in the technology of power’, away from exerting force on the body</w:t>
      </w:r>
      <w:r w:rsidR="00BC158E" w:rsidRPr="00424846">
        <w:rPr>
          <w:rFonts w:ascii="Arial" w:hAnsi="Arial" w:cs="Arial"/>
          <w:sz w:val="24"/>
          <w:szCs w:val="24"/>
        </w:rPr>
        <w:t xml:space="preserve">, per se, </w:t>
      </w:r>
      <w:r w:rsidR="00D7392B" w:rsidRPr="00424846">
        <w:rPr>
          <w:rFonts w:ascii="Arial" w:hAnsi="Arial" w:cs="Arial"/>
          <w:sz w:val="24"/>
          <w:szCs w:val="24"/>
        </w:rPr>
        <w:t xml:space="preserve">and towards exerting societal pressure through incarceration, hence the </w:t>
      </w:r>
      <w:r w:rsidR="00D25C7A" w:rsidRPr="00424846">
        <w:rPr>
          <w:rFonts w:ascii="Arial" w:hAnsi="Arial" w:cs="Arial"/>
          <w:sz w:val="24"/>
          <w:szCs w:val="24"/>
        </w:rPr>
        <w:t>reduction in corporal  punishment and ri</w:t>
      </w:r>
      <w:r w:rsidR="00D7392B" w:rsidRPr="00424846">
        <w:rPr>
          <w:rFonts w:ascii="Arial" w:hAnsi="Arial" w:cs="Arial"/>
          <w:sz w:val="24"/>
          <w:szCs w:val="24"/>
        </w:rPr>
        <w:t xml:space="preserve">se in prisons. </w:t>
      </w:r>
      <w:r w:rsidR="00BC158E" w:rsidRPr="00424846">
        <w:rPr>
          <w:rFonts w:ascii="Arial" w:hAnsi="Arial" w:cs="Arial"/>
          <w:sz w:val="24"/>
          <w:szCs w:val="24"/>
        </w:rPr>
        <w:t xml:space="preserve">         </w:t>
      </w:r>
      <w:r w:rsidR="00926AFF" w:rsidRPr="00424846">
        <w:rPr>
          <w:rFonts w:ascii="Arial" w:hAnsi="Arial" w:cs="Arial"/>
          <w:sz w:val="24"/>
          <w:szCs w:val="24"/>
        </w:rPr>
        <w:t>This is a much more convincing argument to explain the shift from torture to jury, as it was more likely due to a revolution</w:t>
      </w:r>
      <w:r w:rsidR="00BC158E" w:rsidRPr="00424846">
        <w:rPr>
          <w:rFonts w:ascii="Arial" w:hAnsi="Arial" w:cs="Arial"/>
          <w:sz w:val="24"/>
          <w:szCs w:val="24"/>
        </w:rPr>
        <w:t xml:space="preserve">, </w:t>
      </w:r>
      <w:r w:rsidR="00926AFF" w:rsidRPr="00424846">
        <w:rPr>
          <w:rFonts w:ascii="Arial" w:hAnsi="Arial" w:cs="Arial"/>
          <w:sz w:val="24"/>
          <w:szCs w:val="24"/>
        </w:rPr>
        <w:t>in the way in which punishment was inflicted</w:t>
      </w:r>
      <w:r w:rsidR="00BC158E" w:rsidRPr="00424846">
        <w:rPr>
          <w:rFonts w:ascii="Arial" w:hAnsi="Arial" w:cs="Arial"/>
          <w:sz w:val="24"/>
          <w:szCs w:val="24"/>
        </w:rPr>
        <w:t xml:space="preserve"> rather than due to a shock of conscience</w:t>
      </w:r>
      <w:r w:rsidR="00242EB1" w:rsidRPr="00424846">
        <w:rPr>
          <w:rStyle w:val="FootnoteReference"/>
          <w:rFonts w:ascii="Arial" w:hAnsi="Arial" w:cs="Arial"/>
          <w:sz w:val="24"/>
          <w:szCs w:val="24"/>
        </w:rPr>
        <w:footnoteReference w:id="41"/>
      </w:r>
      <w:r w:rsidR="00F631C7" w:rsidRPr="00424846">
        <w:rPr>
          <w:rFonts w:ascii="Arial" w:hAnsi="Arial" w:cs="Arial"/>
          <w:sz w:val="24"/>
          <w:szCs w:val="24"/>
        </w:rPr>
        <w:t xml:space="preserve">.  </w:t>
      </w:r>
    </w:p>
    <w:p w14:paraId="2770D902" w14:textId="5E03A4A8" w:rsidR="00664379" w:rsidRPr="00424846" w:rsidRDefault="00F631C7" w:rsidP="00862139">
      <w:pPr>
        <w:spacing w:line="480" w:lineRule="auto"/>
        <w:jc w:val="both"/>
        <w:rPr>
          <w:rFonts w:ascii="Arial" w:hAnsi="Arial" w:cs="Arial"/>
          <w:sz w:val="24"/>
          <w:szCs w:val="24"/>
        </w:rPr>
      </w:pPr>
      <w:r w:rsidRPr="00424846">
        <w:rPr>
          <w:rFonts w:ascii="Arial" w:hAnsi="Arial" w:cs="Arial"/>
          <w:sz w:val="24"/>
          <w:szCs w:val="24"/>
        </w:rPr>
        <w:t>Nevertheless, t</w:t>
      </w:r>
      <w:r w:rsidR="003471D0" w:rsidRPr="00424846">
        <w:rPr>
          <w:rFonts w:ascii="Arial" w:hAnsi="Arial" w:cs="Arial"/>
          <w:sz w:val="24"/>
          <w:szCs w:val="24"/>
        </w:rPr>
        <w:t>he 4th Lateran Council</w:t>
      </w:r>
      <w:r w:rsidRPr="00424846">
        <w:rPr>
          <w:rFonts w:ascii="Arial" w:hAnsi="Arial" w:cs="Arial"/>
          <w:sz w:val="24"/>
          <w:szCs w:val="24"/>
        </w:rPr>
        <w:t xml:space="preserve"> and</w:t>
      </w:r>
      <w:r w:rsidR="00242EB1" w:rsidRPr="00424846">
        <w:rPr>
          <w:rFonts w:ascii="Arial" w:hAnsi="Arial" w:cs="Arial"/>
          <w:sz w:val="24"/>
          <w:szCs w:val="24"/>
        </w:rPr>
        <w:t xml:space="preserve"> </w:t>
      </w:r>
      <w:r w:rsidRPr="00424846">
        <w:rPr>
          <w:rFonts w:ascii="Arial" w:hAnsi="Arial" w:cs="Arial"/>
          <w:sz w:val="24"/>
          <w:szCs w:val="24"/>
        </w:rPr>
        <w:t>the monarch of that period</w:t>
      </w:r>
      <w:r w:rsidR="00BC158E" w:rsidRPr="00424846">
        <w:rPr>
          <w:rFonts w:ascii="Arial" w:hAnsi="Arial" w:cs="Arial"/>
          <w:sz w:val="24"/>
          <w:szCs w:val="24"/>
        </w:rPr>
        <w:t xml:space="preserve"> </w:t>
      </w:r>
      <w:r w:rsidRPr="00424846">
        <w:rPr>
          <w:rFonts w:ascii="Arial" w:hAnsi="Arial" w:cs="Arial"/>
          <w:sz w:val="24"/>
          <w:szCs w:val="24"/>
        </w:rPr>
        <w:t>outlawed judicial torture</w:t>
      </w:r>
      <w:r w:rsidR="00715FAD" w:rsidRPr="00424846">
        <w:rPr>
          <w:rFonts w:ascii="Arial" w:hAnsi="Arial" w:cs="Arial"/>
          <w:sz w:val="24"/>
          <w:szCs w:val="24"/>
        </w:rPr>
        <w:t xml:space="preserve"> and replaced it with jury trials</w:t>
      </w:r>
      <w:r w:rsidR="00D25C7A" w:rsidRPr="00424846">
        <w:rPr>
          <w:rFonts w:ascii="Arial" w:hAnsi="Arial" w:cs="Arial"/>
          <w:sz w:val="24"/>
          <w:szCs w:val="24"/>
        </w:rPr>
        <w:t xml:space="preserve"> permanently. </w:t>
      </w:r>
    </w:p>
    <w:p w14:paraId="50CA94DB" w14:textId="77777777" w:rsidR="007035CD" w:rsidRPr="00424846" w:rsidRDefault="007035CD" w:rsidP="00862139">
      <w:pPr>
        <w:spacing w:line="480" w:lineRule="auto"/>
        <w:jc w:val="both"/>
        <w:rPr>
          <w:rFonts w:ascii="Arial" w:hAnsi="Arial" w:cs="Arial"/>
          <w:sz w:val="24"/>
          <w:szCs w:val="24"/>
        </w:rPr>
      </w:pPr>
    </w:p>
    <w:p w14:paraId="2B001DE5" w14:textId="77777777" w:rsidR="007035CD" w:rsidRPr="00424846" w:rsidRDefault="007035CD" w:rsidP="00862139">
      <w:pPr>
        <w:spacing w:line="480" w:lineRule="auto"/>
        <w:jc w:val="both"/>
        <w:rPr>
          <w:rFonts w:ascii="Arial" w:hAnsi="Arial" w:cs="Arial"/>
          <w:sz w:val="24"/>
          <w:szCs w:val="24"/>
        </w:rPr>
      </w:pPr>
    </w:p>
    <w:p w14:paraId="73B6EF3E" w14:textId="77777777" w:rsidR="007035CD" w:rsidRPr="00424846" w:rsidRDefault="007035CD" w:rsidP="00862139">
      <w:pPr>
        <w:spacing w:line="480" w:lineRule="auto"/>
        <w:jc w:val="both"/>
        <w:rPr>
          <w:rFonts w:ascii="Arial" w:hAnsi="Arial" w:cs="Arial"/>
          <w:sz w:val="24"/>
          <w:szCs w:val="24"/>
        </w:rPr>
      </w:pPr>
    </w:p>
    <w:p w14:paraId="7BF05347" w14:textId="77777777" w:rsidR="007035CD" w:rsidRPr="00424846" w:rsidRDefault="007035CD" w:rsidP="00862139">
      <w:pPr>
        <w:spacing w:line="480" w:lineRule="auto"/>
        <w:jc w:val="both"/>
        <w:rPr>
          <w:rFonts w:ascii="Arial" w:hAnsi="Arial" w:cs="Arial"/>
          <w:sz w:val="24"/>
          <w:szCs w:val="24"/>
        </w:rPr>
      </w:pPr>
    </w:p>
    <w:p w14:paraId="2C09E5F4" w14:textId="6A6DBEF6" w:rsidR="00823E1E" w:rsidRDefault="00823E1E" w:rsidP="00862139">
      <w:pPr>
        <w:spacing w:line="480" w:lineRule="auto"/>
        <w:jc w:val="both"/>
        <w:rPr>
          <w:rFonts w:ascii="Arial" w:hAnsi="Arial" w:cs="Arial"/>
          <w:sz w:val="24"/>
          <w:szCs w:val="24"/>
        </w:rPr>
      </w:pPr>
    </w:p>
    <w:p w14:paraId="0F43E320" w14:textId="0926DB4D" w:rsidR="00862139" w:rsidRDefault="00862139" w:rsidP="00862139">
      <w:pPr>
        <w:spacing w:line="480" w:lineRule="auto"/>
        <w:jc w:val="both"/>
        <w:rPr>
          <w:rFonts w:ascii="Arial" w:hAnsi="Arial" w:cs="Arial"/>
          <w:sz w:val="24"/>
          <w:szCs w:val="24"/>
        </w:rPr>
      </w:pPr>
    </w:p>
    <w:p w14:paraId="32B7C1D0" w14:textId="4E930750" w:rsidR="00270092" w:rsidRDefault="00270092" w:rsidP="00862139">
      <w:pPr>
        <w:spacing w:line="480" w:lineRule="auto"/>
        <w:jc w:val="both"/>
        <w:rPr>
          <w:rFonts w:ascii="Arial" w:hAnsi="Arial" w:cs="Arial"/>
          <w:sz w:val="24"/>
          <w:szCs w:val="24"/>
        </w:rPr>
      </w:pPr>
    </w:p>
    <w:p w14:paraId="18908E40" w14:textId="77777777" w:rsidR="00270092" w:rsidRPr="00424846" w:rsidRDefault="00270092" w:rsidP="00862139">
      <w:pPr>
        <w:spacing w:line="480" w:lineRule="auto"/>
        <w:jc w:val="both"/>
        <w:rPr>
          <w:rFonts w:ascii="Arial" w:hAnsi="Arial" w:cs="Arial"/>
          <w:sz w:val="24"/>
          <w:szCs w:val="24"/>
        </w:rPr>
      </w:pPr>
    </w:p>
    <w:p w14:paraId="7EB6793C" w14:textId="7F6C8929" w:rsidR="0003314C" w:rsidRPr="00862139" w:rsidRDefault="00FD1E87" w:rsidP="00862139">
      <w:pPr>
        <w:spacing w:line="480" w:lineRule="auto"/>
        <w:jc w:val="center"/>
        <w:rPr>
          <w:rFonts w:ascii="Arial" w:hAnsi="Arial" w:cs="Arial"/>
          <w:b/>
          <w:bCs/>
          <w:sz w:val="24"/>
          <w:szCs w:val="24"/>
          <w:u w:val="single"/>
        </w:rPr>
      </w:pPr>
      <w:r w:rsidRPr="00862139">
        <w:rPr>
          <w:rFonts w:ascii="Arial" w:hAnsi="Arial" w:cs="Arial"/>
          <w:b/>
          <w:bCs/>
          <w:sz w:val="24"/>
          <w:szCs w:val="24"/>
          <w:u w:val="single"/>
        </w:rPr>
        <w:lastRenderedPageBreak/>
        <w:t xml:space="preserve">Torture in </w:t>
      </w:r>
      <w:r w:rsidR="00664379" w:rsidRPr="00862139">
        <w:rPr>
          <w:rFonts w:ascii="Arial" w:hAnsi="Arial" w:cs="Arial"/>
          <w:b/>
          <w:bCs/>
          <w:sz w:val="24"/>
          <w:szCs w:val="24"/>
          <w:u w:val="single"/>
        </w:rPr>
        <w:t>England</w:t>
      </w:r>
      <w:r w:rsidR="00862139">
        <w:rPr>
          <w:rFonts w:ascii="Arial" w:hAnsi="Arial" w:cs="Arial"/>
          <w:b/>
          <w:bCs/>
          <w:sz w:val="24"/>
          <w:szCs w:val="24"/>
          <w:u w:val="single"/>
        </w:rPr>
        <w:t>:</w:t>
      </w:r>
    </w:p>
    <w:p w14:paraId="7A5B1DA4" w14:textId="0163DDB5" w:rsidR="00127820" w:rsidRPr="00424846" w:rsidRDefault="004459F0" w:rsidP="00862139">
      <w:pPr>
        <w:spacing w:line="480" w:lineRule="auto"/>
        <w:jc w:val="both"/>
        <w:rPr>
          <w:rFonts w:ascii="Arial" w:hAnsi="Arial" w:cs="Arial"/>
          <w:sz w:val="24"/>
          <w:szCs w:val="24"/>
        </w:rPr>
      </w:pPr>
      <w:r w:rsidRPr="00424846">
        <w:rPr>
          <w:rFonts w:ascii="Arial" w:hAnsi="Arial" w:cs="Arial"/>
          <w:sz w:val="24"/>
          <w:szCs w:val="24"/>
        </w:rPr>
        <w:t>Although</w:t>
      </w:r>
      <w:r w:rsidR="00AE16A9" w:rsidRPr="00424846">
        <w:rPr>
          <w:rFonts w:ascii="Arial" w:hAnsi="Arial" w:cs="Arial"/>
          <w:sz w:val="24"/>
          <w:szCs w:val="24"/>
        </w:rPr>
        <w:t xml:space="preserve">, </w:t>
      </w:r>
      <w:r w:rsidR="00127820" w:rsidRPr="00424846">
        <w:rPr>
          <w:rFonts w:ascii="Arial" w:hAnsi="Arial" w:cs="Arial"/>
          <w:sz w:val="24"/>
          <w:szCs w:val="24"/>
        </w:rPr>
        <w:t xml:space="preserve">there is little legal and theoretical analysis on instances where torture was used by the court in England, the limited research on the topic has indicated that </w:t>
      </w:r>
      <w:r w:rsidR="005B1BF5" w:rsidRPr="00424846">
        <w:rPr>
          <w:rFonts w:ascii="Arial" w:hAnsi="Arial" w:cs="Arial"/>
          <w:sz w:val="24"/>
          <w:szCs w:val="24"/>
        </w:rPr>
        <w:t>judicial torture was used, albeit</w:t>
      </w:r>
      <w:r w:rsidR="00E02F30" w:rsidRPr="00424846">
        <w:rPr>
          <w:rFonts w:ascii="Arial" w:hAnsi="Arial" w:cs="Arial"/>
          <w:sz w:val="24"/>
          <w:szCs w:val="24"/>
        </w:rPr>
        <w:t>,</w:t>
      </w:r>
      <w:r w:rsidR="005B1BF5" w:rsidRPr="00424846">
        <w:rPr>
          <w:rFonts w:ascii="Arial" w:hAnsi="Arial" w:cs="Arial"/>
          <w:sz w:val="24"/>
          <w:szCs w:val="24"/>
        </w:rPr>
        <w:t xml:space="preserve"> not as frequently, systematically or harshly in English law as Roman cannon law. </w:t>
      </w:r>
      <w:r w:rsidR="00EA0FD9" w:rsidRPr="00424846">
        <w:rPr>
          <w:rFonts w:ascii="Arial" w:hAnsi="Arial" w:cs="Arial"/>
          <w:sz w:val="24"/>
          <w:szCs w:val="24"/>
        </w:rPr>
        <w:t>Even Though, it was not a staple of English law, certainly, torture was used and administered by English courts, as both Sir Thomas Smith and Sir Edward Coke ordered suspects to be interrogated under torture</w:t>
      </w:r>
      <w:r w:rsidR="0051597D" w:rsidRPr="00424846">
        <w:rPr>
          <w:rFonts w:ascii="Arial" w:hAnsi="Arial" w:cs="Arial"/>
          <w:sz w:val="24"/>
          <w:szCs w:val="24"/>
        </w:rPr>
        <w:t xml:space="preserve"> and </w:t>
      </w:r>
      <w:r w:rsidR="005572DF" w:rsidRPr="00424846">
        <w:rPr>
          <w:rFonts w:ascii="Arial" w:hAnsi="Arial" w:cs="Arial"/>
          <w:sz w:val="24"/>
          <w:szCs w:val="24"/>
        </w:rPr>
        <w:t xml:space="preserve">Langbien states in his book, an approximate number of 80 cases from 1540-1640 where the monarch or Privy Council </w:t>
      </w:r>
      <w:r w:rsidR="000829BB" w:rsidRPr="00424846">
        <w:rPr>
          <w:rFonts w:ascii="Arial" w:hAnsi="Arial" w:cs="Arial"/>
          <w:sz w:val="24"/>
          <w:szCs w:val="24"/>
        </w:rPr>
        <w:t>ordered suspects to be interrogated under torture</w:t>
      </w:r>
      <w:r w:rsidR="0051597D" w:rsidRPr="00424846">
        <w:rPr>
          <w:rStyle w:val="FootnoteReference"/>
          <w:rFonts w:ascii="Arial" w:hAnsi="Arial" w:cs="Arial"/>
          <w:sz w:val="24"/>
          <w:szCs w:val="24"/>
        </w:rPr>
        <w:footnoteReference w:id="42"/>
      </w:r>
      <w:r w:rsidR="000829BB" w:rsidRPr="00424846">
        <w:rPr>
          <w:rFonts w:ascii="Arial" w:hAnsi="Arial" w:cs="Arial"/>
          <w:sz w:val="24"/>
          <w:szCs w:val="24"/>
        </w:rPr>
        <w:t xml:space="preserve">. </w:t>
      </w:r>
    </w:p>
    <w:p w14:paraId="6F853283" w14:textId="77777777" w:rsidR="00612A50" w:rsidRPr="00424846" w:rsidRDefault="000829BB" w:rsidP="00862139">
      <w:pPr>
        <w:spacing w:line="480" w:lineRule="auto"/>
        <w:jc w:val="both"/>
        <w:rPr>
          <w:rFonts w:ascii="Arial" w:hAnsi="Arial" w:cs="Arial"/>
          <w:sz w:val="24"/>
          <w:szCs w:val="24"/>
        </w:rPr>
      </w:pPr>
      <w:r w:rsidRPr="00424846">
        <w:rPr>
          <w:rFonts w:ascii="Arial" w:hAnsi="Arial" w:cs="Arial"/>
          <w:sz w:val="24"/>
          <w:szCs w:val="24"/>
        </w:rPr>
        <w:t xml:space="preserve">The most notable </w:t>
      </w:r>
      <w:r w:rsidR="004227C4" w:rsidRPr="00424846">
        <w:rPr>
          <w:rFonts w:ascii="Arial" w:hAnsi="Arial" w:cs="Arial"/>
          <w:sz w:val="24"/>
          <w:szCs w:val="24"/>
        </w:rPr>
        <w:t xml:space="preserve">and prominent </w:t>
      </w:r>
      <w:r w:rsidRPr="00424846">
        <w:rPr>
          <w:rFonts w:ascii="Arial" w:hAnsi="Arial" w:cs="Arial"/>
          <w:sz w:val="24"/>
          <w:szCs w:val="24"/>
        </w:rPr>
        <w:t>work on this topic comes from David Jardine, who researched and published a short monograph in 1837</w:t>
      </w:r>
      <w:r w:rsidR="004227C4" w:rsidRPr="00424846">
        <w:rPr>
          <w:rFonts w:ascii="Arial" w:hAnsi="Arial" w:cs="Arial"/>
          <w:sz w:val="24"/>
          <w:szCs w:val="24"/>
        </w:rPr>
        <w:t>, detailing the position the court took towards judicial torture in England, using case studies of that period, privy council registers and the state papers domestic</w:t>
      </w:r>
      <w:r w:rsidR="004227C4" w:rsidRPr="00424846">
        <w:rPr>
          <w:rStyle w:val="FootnoteReference"/>
          <w:rFonts w:ascii="Arial" w:hAnsi="Arial" w:cs="Arial"/>
          <w:sz w:val="24"/>
          <w:szCs w:val="24"/>
        </w:rPr>
        <w:footnoteReference w:id="43"/>
      </w:r>
      <w:r w:rsidR="0051597D" w:rsidRPr="00424846">
        <w:rPr>
          <w:rFonts w:ascii="Arial" w:hAnsi="Arial" w:cs="Arial"/>
          <w:sz w:val="24"/>
          <w:szCs w:val="24"/>
        </w:rPr>
        <w:t>. H</w:t>
      </w:r>
      <w:r w:rsidR="0085063E" w:rsidRPr="00424846">
        <w:rPr>
          <w:rFonts w:ascii="Arial" w:hAnsi="Arial" w:cs="Arial"/>
          <w:sz w:val="24"/>
          <w:szCs w:val="24"/>
        </w:rPr>
        <w:t xml:space="preserve">is research found that, contrary to </w:t>
      </w:r>
      <w:r w:rsidR="0051597D" w:rsidRPr="00424846">
        <w:rPr>
          <w:rFonts w:ascii="Arial" w:hAnsi="Arial" w:cs="Arial"/>
          <w:sz w:val="24"/>
          <w:szCs w:val="24"/>
        </w:rPr>
        <w:t>Lord Thomas Smith’s</w:t>
      </w:r>
      <w:r w:rsidR="0085063E" w:rsidRPr="00424846">
        <w:rPr>
          <w:rFonts w:ascii="Arial" w:hAnsi="Arial" w:cs="Arial"/>
          <w:sz w:val="24"/>
          <w:szCs w:val="24"/>
        </w:rPr>
        <w:t xml:space="preserve"> claim that torture was not used in English law</w:t>
      </w:r>
      <w:r w:rsidR="0051597D" w:rsidRPr="00424846">
        <w:rPr>
          <w:rFonts w:ascii="Arial" w:hAnsi="Arial" w:cs="Arial"/>
          <w:sz w:val="24"/>
          <w:szCs w:val="24"/>
        </w:rPr>
        <w:t>,</w:t>
      </w:r>
      <w:r w:rsidR="0085063E" w:rsidRPr="00424846">
        <w:rPr>
          <w:rFonts w:ascii="Arial" w:hAnsi="Arial" w:cs="Arial"/>
          <w:sz w:val="24"/>
          <w:szCs w:val="24"/>
        </w:rPr>
        <w:t xml:space="preserve"> it was used several times and, as stated above, sometimes sanctioned by </w:t>
      </w:r>
      <w:r w:rsidR="0051597D" w:rsidRPr="00424846">
        <w:rPr>
          <w:rFonts w:ascii="Arial" w:hAnsi="Arial" w:cs="Arial"/>
          <w:sz w:val="24"/>
          <w:szCs w:val="24"/>
        </w:rPr>
        <w:t xml:space="preserve">Lord </w:t>
      </w:r>
      <w:r w:rsidR="0085063E" w:rsidRPr="00424846">
        <w:rPr>
          <w:rFonts w:ascii="Arial" w:hAnsi="Arial" w:cs="Arial"/>
          <w:sz w:val="24"/>
          <w:szCs w:val="24"/>
        </w:rPr>
        <w:t xml:space="preserve">Thomas Smith himself, however, </w:t>
      </w:r>
      <w:r w:rsidR="0051597D" w:rsidRPr="00424846">
        <w:rPr>
          <w:rFonts w:ascii="Arial" w:hAnsi="Arial" w:cs="Arial"/>
          <w:sz w:val="24"/>
          <w:szCs w:val="24"/>
        </w:rPr>
        <w:t>it did not constitute a</w:t>
      </w:r>
      <w:r w:rsidR="0085063E" w:rsidRPr="00424846">
        <w:rPr>
          <w:rFonts w:ascii="Arial" w:hAnsi="Arial" w:cs="Arial"/>
          <w:sz w:val="24"/>
          <w:szCs w:val="24"/>
        </w:rPr>
        <w:t xml:space="preserve"> fundamental aspect of English </w:t>
      </w:r>
      <w:r w:rsidR="0051597D" w:rsidRPr="00424846">
        <w:rPr>
          <w:rFonts w:ascii="Arial" w:hAnsi="Arial" w:cs="Arial"/>
          <w:sz w:val="24"/>
          <w:szCs w:val="24"/>
        </w:rPr>
        <w:t xml:space="preserve">evidential </w:t>
      </w:r>
      <w:r w:rsidR="0085063E" w:rsidRPr="00424846">
        <w:rPr>
          <w:rFonts w:ascii="Arial" w:hAnsi="Arial" w:cs="Arial"/>
          <w:sz w:val="24"/>
          <w:szCs w:val="24"/>
        </w:rPr>
        <w:t>Law, as it was rarely used in criminal cases</w:t>
      </w:r>
      <w:r w:rsidR="0085063E" w:rsidRPr="00424846">
        <w:rPr>
          <w:rStyle w:val="FootnoteReference"/>
          <w:rFonts w:ascii="Arial" w:hAnsi="Arial" w:cs="Arial"/>
          <w:sz w:val="24"/>
          <w:szCs w:val="24"/>
        </w:rPr>
        <w:footnoteReference w:id="44"/>
      </w:r>
      <w:r w:rsidR="0085063E" w:rsidRPr="00424846">
        <w:rPr>
          <w:rFonts w:ascii="Arial" w:hAnsi="Arial" w:cs="Arial"/>
          <w:sz w:val="24"/>
          <w:szCs w:val="24"/>
        </w:rPr>
        <w:t xml:space="preserve">. </w:t>
      </w:r>
      <w:r w:rsidR="004227C4" w:rsidRPr="00424846">
        <w:rPr>
          <w:rFonts w:ascii="Arial" w:hAnsi="Arial" w:cs="Arial"/>
          <w:sz w:val="24"/>
          <w:szCs w:val="24"/>
        </w:rPr>
        <w:t xml:space="preserve"> </w:t>
      </w:r>
      <w:r w:rsidR="0085063E" w:rsidRPr="00424846">
        <w:rPr>
          <w:rFonts w:ascii="Arial" w:hAnsi="Arial" w:cs="Arial"/>
          <w:sz w:val="24"/>
          <w:szCs w:val="24"/>
        </w:rPr>
        <w:t xml:space="preserve">According to Langbien, torture was </w:t>
      </w:r>
      <w:r w:rsidR="00AA64CF" w:rsidRPr="00424846">
        <w:rPr>
          <w:rFonts w:ascii="Arial" w:hAnsi="Arial" w:cs="Arial"/>
          <w:sz w:val="24"/>
          <w:szCs w:val="24"/>
        </w:rPr>
        <w:t>issued by English courts in two instances, firstly, like in roman cannon law, to extract a confession from a suspect under the same rules and procedures above, or secondly,</w:t>
      </w:r>
      <w:r w:rsidR="0085063E" w:rsidRPr="00424846">
        <w:rPr>
          <w:rFonts w:ascii="Arial" w:hAnsi="Arial" w:cs="Arial"/>
          <w:sz w:val="24"/>
          <w:szCs w:val="24"/>
        </w:rPr>
        <w:t xml:space="preserve"> where the defendant refused to plea, to which the court issued a torture warrant to force him to plea his innocence or guilt to </w:t>
      </w:r>
      <w:r w:rsidR="00AA64CF" w:rsidRPr="00424846">
        <w:rPr>
          <w:rFonts w:ascii="Arial" w:hAnsi="Arial" w:cs="Arial"/>
          <w:sz w:val="24"/>
          <w:szCs w:val="24"/>
        </w:rPr>
        <w:t>the</w:t>
      </w:r>
      <w:r w:rsidR="0085063E" w:rsidRPr="00424846">
        <w:rPr>
          <w:rFonts w:ascii="Arial" w:hAnsi="Arial" w:cs="Arial"/>
          <w:sz w:val="24"/>
          <w:szCs w:val="24"/>
        </w:rPr>
        <w:t xml:space="preserve"> crime, then proceeded to a jury trial to examine the evidence against him and reach a conclusion, to convict or acquit the accused. </w:t>
      </w:r>
      <w:r w:rsidR="00AA64CF" w:rsidRPr="00424846">
        <w:rPr>
          <w:rFonts w:ascii="Arial" w:hAnsi="Arial" w:cs="Arial"/>
          <w:sz w:val="24"/>
          <w:szCs w:val="24"/>
        </w:rPr>
        <w:lastRenderedPageBreak/>
        <w:t>Accounts in Langbien’s book, show that the torture method issued by the court could, at times, lead to the death of the accused before a trial ever happens</w:t>
      </w:r>
      <w:r w:rsidR="0021514C" w:rsidRPr="00424846">
        <w:rPr>
          <w:rFonts w:ascii="Arial" w:hAnsi="Arial" w:cs="Arial"/>
          <w:sz w:val="24"/>
          <w:szCs w:val="24"/>
        </w:rPr>
        <w:t>, suggesting that, although, it was not systematically used, it was just as harsh as Roman Cannon Law.</w:t>
      </w:r>
      <w:r w:rsidR="00C859E3" w:rsidRPr="00424846">
        <w:rPr>
          <w:rFonts w:ascii="Arial" w:hAnsi="Arial" w:cs="Arial"/>
          <w:sz w:val="24"/>
          <w:szCs w:val="24"/>
        </w:rPr>
        <w:t xml:space="preserve"> </w:t>
      </w:r>
    </w:p>
    <w:p w14:paraId="7D977CCD" w14:textId="1CA13544" w:rsidR="00FA2F62" w:rsidRPr="00424846" w:rsidRDefault="00C859E3" w:rsidP="00862139">
      <w:pPr>
        <w:spacing w:line="480" w:lineRule="auto"/>
        <w:jc w:val="both"/>
        <w:rPr>
          <w:rFonts w:ascii="Arial" w:hAnsi="Arial" w:cs="Arial"/>
          <w:sz w:val="24"/>
          <w:szCs w:val="24"/>
        </w:rPr>
      </w:pPr>
      <w:r w:rsidRPr="00424846">
        <w:rPr>
          <w:rFonts w:ascii="Arial" w:hAnsi="Arial" w:cs="Arial"/>
          <w:sz w:val="24"/>
          <w:szCs w:val="24"/>
        </w:rPr>
        <w:t>Nevertheless, when England abolished it</w:t>
      </w:r>
      <w:r w:rsidR="0020045E" w:rsidRPr="00424846">
        <w:rPr>
          <w:rFonts w:ascii="Arial" w:hAnsi="Arial" w:cs="Arial"/>
          <w:sz w:val="24"/>
          <w:szCs w:val="24"/>
        </w:rPr>
        <w:t xml:space="preserve"> in 1640</w:t>
      </w:r>
      <w:r w:rsidRPr="00424846">
        <w:rPr>
          <w:rFonts w:ascii="Arial" w:hAnsi="Arial" w:cs="Arial"/>
          <w:sz w:val="24"/>
          <w:szCs w:val="24"/>
        </w:rPr>
        <w:t>, jury trials became the primary mode of procedure replacing JT</w:t>
      </w:r>
      <w:r w:rsidR="0021048B" w:rsidRPr="00424846">
        <w:rPr>
          <w:rStyle w:val="FootnoteReference"/>
          <w:rFonts w:ascii="Arial" w:hAnsi="Arial" w:cs="Arial"/>
          <w:sz w:val="24"/>
          <w:szCs w:val="24"/>
        </w:rPr>
        <w:footnoteReference w:id="45"/>
      </w:r>
      <w:r w:rsidRPr="00424846">
        <w:rPr>
          <w:rFonts w:ascii="Arial" w:hAnsi="Arial" w:cs="Arial"/>
          <w:sz w:val="24"/>
          <w:szCs w:val="24"/>
        </w:rPr>
        <w:t xml:space="preserve">. </w:t>
      </w:r>
      <w:r w:rsidR="0021514C" w:rsidRPr="00424846">
        <w:rPr>
          <w:rFonts w:ascii="Arial" w:hAnsi="Arial" w:cs="Arial"/>
          <w:sz w:val="24"/>
          <w:szCs w:val="24"/>
        </w:rPr>
        <w:t xml:space="preserve"> </w:t>
      </w:r>
    </w:p>
    <w:p w14:paraId="305B2D1C" w14:textId="34DE5547" w:rsidR="00823E1E" w:rsidRPr="00424846" w:rsidRDefault="00A6391E" w:rsidP="00862139">
      <w:pPr>
        <w:spacing w:line="480" w:lineRule="auto"/>
        <w:jc w:val="both"/>
        <w:rPr>
          <w:rFonts w:ascii="Arial" w:hAnsi="Arial" w:cs="Arial"/>
          <w:sz w:val="24"/>
          <w:szCs w:val="24"/>
        </w:rPr>
      </w:pPr>
      <w:r w:rsidRPr="00424846">
        <w:rPr>
          <w:rFonts w:ascii="Arial" w:hAnsi="Arial" w:cs="Arial"/>
          <w:sz w:val="24"/>
          <w:szCs w:val="24"/>
        </w:rPr>
        <w:t xml:space="preserve">Lord </w:t>
      </w:r>
      <w:r w:rsidR="0020045E" w:rsidRPr="00424846">
        <w:rPr>
          <w:rFonts w:ascii="Arial" w:hAnsi="Arial" w:cs="Arial"/>
          <w:sz w:val="24"/>
          <w:szCs w:val="24"/>
        </w:rPr>
        <w:t>Coke made an important statement regarding the</w:t>
      </w:r>
      <w:r w:rsidR="00F17F5C" w:rsidRPr="00424846">
        <w:rPr>
          <w:rFonts w:ascii="Arial" w:hAnsi="Arial" w:cs="Arial"/>
          <w:sz w:val="24"/>
          <w:szCs w:val="24"/>
        </w:rPr>
        <w:t xml:space="preserve"> courts use of</w:t>
      </w:r>
      <w:r w:rsidR="0020045E" w:rsidRPr="00424846">
        <w:rPr>
          <w:rFonts w:ascii="Arial" w:hAnsi="Arial" w:cs="Arial"/>
          <w:sz w:val="24"/>
          <w:szCs w:val="24"/>
        </w:rPr>
        <w:t xml:space="preserve"> JT,</w:t>
      </w:r>
      <w:r w:rsidR="004D10A8" w:rsidRPr="00424846">
        <w:rPr>
          <w:rFonts w:ascii="Arial" w:hAnsi="Arial" w:cs="Arial"/>
          <w:sz w:val="24"/>
          <w:szCs w:val="24"/>
        </w:rPr>
        <w:t xml:space="preserve"> </w:t>
      </w:r>
      <w:r w:rsidR="001140E6" w:rsidRPr="00424846">
        <w:rPr>
          <w:rFonts w:ascii="Arial" w:hAnsi="Arial" w:cs="Arial"/>
          <w:sz w:val="24"/>
          <w:szCs w:val="24"/>
        </w:rPr>
        <w:t>asserting</w:t>
      </w:r>
      <w:r w:rsidR="0020045E" w:rsidRPr="00424846">
        <w:rPr>
          <w:rFonts w:ascii="Arial" w:hAnsi="Arial" w:cs="Arial"/>
          <w:sz w:val="24"/>
          <w:szCs w:val="24"/>
        </w:rPr>
        <w:t xml:space="preserve"> that </w:t>
      </w:r>
      <w:bookmarkStart w:id="19" w:name="_Hlk35983622"/>
      <w:r w:rsidR="004D10A8" w:rsidRPr="00424846">
        <w:rPr>
          <w:rFonts w:ascii="Arial" w:hAnsi="Arial" w:cs="Arial"/>
          <w:sz w:val="24"/>
          <w:szCs w:val="24"/>
        </w:rPr>
        <w:t>‘there is no law to warrant torture in this land, nor can they be justified by any prescription being so lately brought in’</w:t>
      </w:r>
      <w:bookmarkEnd w:id="19"/>
      <w:r w:rsidR="00D656AC" w:rsidRPr="00424846">
        <w:rPr>
          <w:rStyle w:val="FootnoteReference"/>
          <w:rFonts w:ascii="Arial" w:hAnsi="Arial" w:cs="Arial"/>
          <w:sz w:val="24"/>
          <w:szCs w:val="24"/>
        </w:rPr>
        <w:footnoteReference w:id="46"/>
      </w:r>
      <w:r w:rsidR="0020045E" w:rsidRPr="00424846">
        <w:rPr>
          <w:rFonts w:ascii="Arial" w:hAnsi="Arial" w:cs="Arial"/>
          <w:sz w:val="24"/>
          <w:szCs w:val="24"/>
        </w:rPr>
        <w:t xml:space="preserve">, firstly, answering the dissertation question, of whether English Law could ever reinstate judicial torture, </w:t>
      </w:r>
      <w:r w:rsidR="00B932DD" w:rsidRPr="00424846">
        <w:rPr>
          <w:rFonts w:ascii="Arial" w:hAnsi="Arial" w:cs="Arial"/>
          <w:sz w:val="24"/>
          <w:szCs w:val="24"/>
        </w:rPr>
        <w:t xml:space="preserve">to which </w:t>
      </w:r>
      <w:r w:rsidR="008E6250" w:rsidRPr="00424846">
        <w:rPr>
          <w:rFonts w:ascii="Arial" w:hAnsi="Arial" w:cs="Arial"/>
          <w:sz w:val="24"/>
          <w:szCs w:val="24"/>
        </w:rPr>
        <w:t>h</w:t>
      </w:r>
      <w:r w:rsidR="00B932DD" w:rsidRPr="00424846">
        <w:rPr>
          <w:rFonts w:ascii="Arial" w:hAnsi="Arial" w:cs="Arial"/>
          <w:sz w:val="24"/>
          <w:szCs w:val="24"/>
        </w:rPr>
        <w:t xml:space="preserve">is opinion </w:t>
      </w:r>
      <w:r w:rsidR="00612A50" w:rsidRPr="00424846">
        <w:rPr>
          <w:rFonts w:ascii="Arial" w:hAnsi="Arial" w:cs="Arial"/>
          <w:sz w:val="24"/>
          <w:szCs w:val="24"/>
        </w:rPr>
        <w:t>wa</w:t>
      </w:r>
      <w:r w:rsidR="00B932DD" w:rsidRPr="00424846">
        <w:rPr>
          <w:rFonts w:ascii="Arial" w:hAnsi="Arial" w:cs="Arial"/>
          <w:sz w:val="24"/>
          <w:szCs w:val="24"/>
        </w:rPr>
        <w:t xml:space="preserve">s </w:t>
      </w:r>
      <w:r w:rsidR="0020045E" w:rsidRPr="00424846">
        <w:rPr>
          <w:rFonts w:ascii="Arial" w:hAnsi="Arial" w:cs="Arial"/>
          <w:sz w:val="24"/>
          <w:szCs w:val="24"/>
        </w:rPr>
        <w:t xml:space="preserve">an outstanding no, and secondly, </w:t>
      </w:r>
      <w:r w:rsidR="00612A50" w:rsidRPr="00424846">
        <w:rPr>
          <w:rFonts w:ascii="Arial" w:hAnsi="Arial" w:cs="Arial"/>
          <w:sz w:val="24"/>
          <w:szCs w:val="24"/>
        </w:rPr>
        <w:t xml:space="preserve">he argues that </w:t>
      </w:r>
      <w:r w:rsidR="008E6250" w:rsidRPr="00424846">
        <w:rPr>
          <w:rFonts w:ascii="Arial" w:hAnsi="Arial" w:cs="Arial"/>
          <w:sz w:val="24"/>
          <w:szCs w:val="24"/>
        </w:rPr>
        <w:t xml:space="preserve">no court has ever interpreted the royal prerogative </w:t>
      </w:r>
      <w:r w:rsidR="00F50103" w:rsidRPr="00424846">
        <w:rPr>
          <w:rFonts w:ascii="Arial" w:hAnsi="Arial" w:cs="Arial"/>
          <w:sz w:val="24"/>
          <w:szCs w:val="24"/>
        </w:rPr>
        <w:t>to include the right to issue torture warrants</w:t>
      </w:r>
      <w:r w:rsidR="00612A50" w:rsidRPr="00424846">
        <w:rPr>
          <w:rFonts w:ascii="Arial" w:hAnsi="Arial" w:cs="Arial"/>
          <w:sz w:val="24"/>
          <w:szCs w:val="24"/>
        </w:rPr>
        <w:t>. T</w:t>
      </w:r>
      <w:r w:rsidR="00F50103" w:rsidRPr="00424846">
        <w:rPr>
          <w:rFonts w:ascii="Arial" w:hAnsi="Arial" w:cs="Arial"/>
          <w:sz w:val="24"/>
          <w:szCs w:val="24"/>
        </w:rPr>
        <w:t xml:space="preserve">his is significant because the court were only exercising a power conferred to them by the monarchy, for example, interrogators </w:t>
      </w:r>
      <w:r w:rsidR="00612A50" w:rsidRPr="00424846">
        <w:rPr>
          <w:rFonts w:ascii="Arial" w:hAnsi="Arial" w:cs="Arial"/>
          <w:sz w:val="24"/>
          <w:szCs w:val="24"/>
        </w:rPr>
        <w:t xml:space="preserve">were </w:t>
      </w:r>
      <w:r w:rsidR="00F50103" w:rsidRPr="00424846">
        <w:rPr>
          <w:rFonts w:ascii="Arial" w:hAnsi="Arial" w:cs="Arial"/>
          <w:sz w:val="24"/>
          <w:szCs w:val="24"/>
        </w:rPr>
        <w:t>able to torture with immunity from the law</w:t>
      </w:r>
      <w:r w:rsidR="00612A50" w:rsidRPr="00424846">
        <w:rPr>
          <w:rFonts w:ascii="Arial" w:hAnsi="Arial" w:cs="Arial"/>
          <w:sz w:val="24"/>
          <w:szCs w:val="24"/>
        </w:rPr>
        <w:t xml:space="preserve"> only because the </w:t>
      </w:r>
      <w:r w:rsidR="00F50103" w:rsidRPr="00424846">
        <w:rPr>
          <w:rFonts w:ascii="Arial" w:hAnsi="Arial" w:cs="Arial"/>
          <w:sz w:val="24"/>
          <w:szCs w:val="24"/>
        </w:rPr>
        <w:t>power</w:t>
      </w:r>
      <w:r w:rsidR="00612A50" w:rsidRPr="00424846">
        <w:rPr>
          <w:rFonts w:ascii="Arial" w:hAnsi="Arial" w:cs="Arial"/>
          <w:sz w:val="24"/>
          <w:szCs w:val="24"/>
        </w:rPr>
        <w:t xml:space="preserve"> to do so was</w:t>
      </w:r>
      <w:r w:rsidR="00F50103" w:rsidRPr="00424846">
        <w:rPr>
          <w:rFonts w:ascii="Arial" w:hAnsi="Arial" w:cs="Arial"/>
          <w:sz w:val="24"/>
          <w:szCs w:val="24"/>
        </w:rPr>
        <w:t xml:space="preserve"> conferred to them by royal prerogative</w:t>
      </w:r>
      <w:r w:rsidR="00612A50" w:rsidRPr="00424846">
        <w:rPr>
          <w:rFonts w:ascii="Arial" w:hAnsi="Arial" w:cs="Arial"/>
          <w:sz w:val="24"/>
          <w:szCs w:val="24"/>
        </w:rPr>
        <w:t>. H</w:t>
      </w:r>
      <w:r w:rsidR="00F50103" w:rsidRPr="00424846">
        <w:rPr>
          <w:rFonts w:ascii="Arial" w:hAnsi="Arial" w:cs="Arial"/>
          <w:sz w:val="24"/>
          <w:szCs w:val="24"/>
        </w:rPr>
        <w:t xml:space="preserve">owever, if </w:t>
      </w:r>
      <w:r w:rsidR="00483E57" w:rsidRPr="00424846">
        <w:rPr>
          <w:rFonts w:ascii="Arial" w:hAnsi="Arial" w:cs="Arial"/>
          <w:sz w:val="24"/>
          <w:szCs w:val="24"/>
        </w:rPr>
        <w:t>the monarchy has</w:t>
      </w:r>
      <w:r w:rsidR="00612A50" w:rsidRPr="00424846">
        <w:rPr>
          <w:rFonts w:ascii="Arial" w:hAnsi="Arial" w:cs="Arial"/>
          <w:sz w:val="24"/>
          <w:szCs w:val="24"/>
        </w:rPr>
        <w:t xml:space="preserve"> </w:t>
      </w:r>
      <w:r w:rsidR="00483E57" w:rsidRPr="00424846">
        <w:rPr>
          <w:rFonts w:ascii="Arial" w:hAnsi="Arial" w:cs="Arial"/>
          <w:sz w:val="24"/>
          <w:szCs w:val="24"/>
        </w:rPr>
        <w:t>no right to torture, as it is not a part of their prerogative, then courts have no right to</w:t>
      </w:r>
      <w:r w:rsidR="00612A50" w:rsidRPr="00424846">
        <w:rPr>
          <w:rFonts w:ascii="Arial" w:hAnsi="Arial" w:cs="Arial"/>
          <w:sz w:val="24"/>
          <w:szCs w:val="24"/>
        </w:rPr>
        <w:t xml:space="preserve"> sanction </w:t>
      </w:r>
      <w:r w:rsidR="00483E57" w:rsidRPr="00424846">
        <w:rPr>
          <w:rFonts w:ascii="Arial" w:hAnsi="Arial" w:cs="Arial"/>
          <w:sz w:val="24"/>
          <w:szCs w:val="24"/>
        </w:rPr>
        <w:t>torture</w:t>
      </w:r>
      <w:r w:rsidR="00612A50" w:rsidRPr="00424846">
        <w:rPr>
          <w:rFonts w:ascii="Arial" w:hAnsi="Arial" w:cs="Arial"/>
          <w:sz w:val="24"/>
          <w:szCs w:val="24"/>
        </w:rPr>
        <w:t xml:space="preserve"> and </w:t>
      </w:r>
      <w:r w:rsidR="00483E57" w:rsidRPr="00424846">
        <w:rPr>
          <w:rFonts w:ascii="Arial" w:hAnsi="Arial" w:cs="Arial"/>
          <w:sz w:val="24"/>
          <w:szCs w:val="24"/>
        </w:rPr>
        <w:t>interrogators ha</w:t>
      </w:r>
      <w:r w:rsidR="00612A50" w:rsidRPr="00424846">
        <w:rPr>
          <w:rFonts w:ascii="Arial" w:hAnsi="Arial" w:cs="Arial"/>
          <w:sz w:val="24"/>
          <w:szCs w:val="24"/>
        </w:rPr>
        <w:t>ve</w:t>
      </w:r>
      <w:r w:rsidR="00483E57" w:rsidRPr="00424846">
        <w:rPr>
          <w:rFonts w:ascii="Arial" w:hAnsi="Arial" w:cs="Arial"/>
          <w:sz w:val="24"/>
          <w:szCs w:val="24"/>
        </w:rPr>
        <w:t xml:space="preserve"> no right to </w:t>
      </w:r>
      <w:r w:rsidR="00612A50" w:rsidRPr="00424846">
        <w:rPr>
          <w:rFonts w:ascii="Arial" w:hAnsi="Arial" w:cs="Arial"/>
          <w:sz w:val="24"/>
          <w:szCs w:val="24"/>
        </w:rPr>
        <w:t xml:space="preserve">practice it or receive </w:t>
      </w:r>
      <w:r w:rsidR="00483E57" w:rsidRPr="00424846">
        <w:rPr>
          <w:rFonts w:ascii="Arial" w:hAnsi="Arial" w:cs="Arial"/>
          <w:sz w:val="24"/>
          <w:szCs w:val="24"/>
        </w:rPr>
        <w:t>immunity from the law. Therefore</w:t>
      </w:r>
      <w:r w:rsidR="00335035" w:rsidRPr="00424846">
        <w:rPr>
          <w:rFonts w:ascii="Arial" w:hAnsi="Arial" w:cs="Arial"/>
          <w:sz w:val="24"/>
          <w:szCs w:val="24"/>
        </w:rPr>
        <w:t>,</w:t>
      </w:r>
      <w:r w:rsidR="003C5E59" w:rsidRPr="00424846">
        <w:rPr>
          <w:rFonts w:ascii="Arial" w:hAnsi="Arial" w:cs="Arial"/>
          <w:sz w:val="24"/>
          <w:szCs w:val="24"/>
        </w:rPr>
        <w:t xml:space="preserve"> </w:t>
      </w:r>
      <w:r w:rsidR="00612A50" w:rsidRPr="00424846">
        <w:rPr>
          <w:rFonts w:ascii="Arial" w:hAnsi="Arial" w:cs="Arial"/>
          <w:sz w:val="24"/>
          <w:szCs w:val="24"/>
        </w:rPr>
        <w:t xml:space="preserve">although Lord Coke acknowledges that </w:t>
      </w:r>
      <w:r w:rsidR="003C5E59" w:rsidRPr="00424846">
        <w:rPr>
          <w:rFonts w:ascii="Arial" w:hAnsi="Arial" w:cs="Arial"/>
          <w:sz w:val="24"/>
          <w:szCs w:val="24"/>
        </w:rPr>
        <w:t>torture</w:t>
      </w:r>
      <w:r w:rsidR="00483E57" w:rsidRPr="00424846">
        <w:rPr>
          <w:rFonts w:ascii="Arial" w:hAnsi="Arial" w:cs="Arial"/>
          <w:sz w:val="24"/>
          <w:szCs w:val="24"/>
        </w:rPr>
        <w:t xml:space="preserve"> was used by the courts,</w:t>
      </w:r>
      <w:r w:rsidR="00612A50" w:rsidRPr="00424846">
        <w:rPr>
          <w:rFonts w:ascii="Arial" w:hAnsi="Arial" w:cs="Arial"/>
          <w:sz w:val="24"/>
          <w:szCs w:val="24"/>
        </w:rPr>
        <w:t xml:space="preserve"> he argues that they really had no right to sanction its use</w:t>
      </w:r>
      <w:r w:rsidR="00D656AC" w:rsidRPr="00424846">
        <w:rPr>
          <w:rStyle w:val="FootnoteReference"/>
          <w:rFonts w:ascii="Arial" w:hAnsi="Arial" w:cs="Arial"/>
          <w:sz w:val="24"/>
          <w:szCs w:val="24"/>
        </w:rPr>
        <w:footnoteReference w:id="47"/>
      </w:r>
      <w:r w:rsidR="003C5E59" w:rsidRPr="00424846">
        <w:rPr>
          <w:rFonts w:ascii="Arial" w:hAnsi="Arial" w:cs="Arial"/>
          <w:sz w:val="24"/>
          <w:szCs w:val="24"/>
        </w:rPr>
        <w:t xml:space="preserve">. </w:t>
      </w:r>
      <w:r w:rsidR="00335035" w:rsidRPr="00424846">
        <w:rPr>
          <w:rFonts w:ascii="Arial" w:hAnsi="Arial" w:cs="Arial"/>
          <w:sz w:val="24"/>
          <w:szCs w:val="24"/>
        </w:rPr>
        <w:t>Stauford agrees with Coke’s view</w:t>
      </w:r>
      <w:r w:rsidR="00D656AC" w:rsidRPr="00424846">
        <w:rPr>
          <w:rFonts w:ascii="Arial" w:hAnsi="Arial" w:cs="Arial"/>
          <w:sz w:val="24"/>
          <w:szCs w:val="24"/>
        </w:rPr>
        <w:t>, as he emphasises that torture was not cited as one of the royal prerogative powers by Francis Bacon in the treatise</w:t>
      </w:r>
      <w:r w:rsidR="00D656AC" w:rsidRPr="00424846">
        <w:rPr>
          <w:rStyle w:val="FootnoteReference"/>
          <w:rFonts w:ascii="Arial" w:hAnsi="Arial" w:cs="Arial"/>
          <w:sz w:val="24"/>
          <w:szCs w:val="24"/>
        </w:rPr>
        <w:footnoteReference w:id="48"/>
      </w:r>
      <w:r w:rsidR="00D656AC" w:rsidRPr="00424846">
        <w:rPr>
          <w:rFonts w:ascii="Arial" w:hAnsi="Arial" w:cs="Arial"/>
          <w:sz w:val="24"/>
          <w:szCs w:val="24"/>
        </w:rPr>
        <w:t xml:space="preserve">.  </w:t>
      </w:r>
      <w:r w:rsidR="00335035" w:rsidRPr="00424846">
        <w:rPr>
          <w:rFonts w:ascii="Arial" w:hAnsi="Arial" w:cs="Arial"/>
          <w:sz w:val="24"/>
          <w:szCs w:val="24"/>
        </w:rPr>
        <w:t xml:space="preserve"> </w:t>
      </w:r>
    </w:p>
    <w:p w14:paraId="58211A6B" w14:textId="77777777" w:rsidR="00652BF5" w:rsidRPr="00424846" w:rsidRDefault="00652BF5" w:rsidP="00862139">
      <w:pPr>
        <w:spacing w:line="480" w:lineRule="auto"/>
        <w:jc w:val="both"/>
        <w:rPr>
          <w:rFonts w:ascii="Arial" w:hAnsi="Arial" w:cs="Arial"/>
          <w:sz w:val="24"/>
          <w:szCs w:val="24"/>
        </w:rPr>
      </w:pPr>
    </w:p>
    <w:p w14:paraId="7122B199" w14:textId="53393780" w:rsidR="005B5DCE" w:rsidRPr="00862139" w:rsidRDefault="005B5DCE" w:rsidP="00862139">
      <w:pPr>
        <w:spacing w:line="480" w:lineRule="auto"/>
        <w:jc w:val="center"/>
        <w:rPr>
          <w:rFonts w:ascii="Arial" w:hAnsi="Arial" w:cs="Arial"/>
          <w:b/>
          <w:bCs/>
          <w:sz w:val="24"/>
          <w:szCs w:val="24"/>
          <w:u w:val="single"/>
        </w:rPr>
      </w:pPr>
      <w:r w:rsidRPr="00862139">
        <w:rPr>
          <w:rFonts w:ascii="Arial" w:hAnsi="Arial" w:cs="Arial"/>
          <w:b/>
          <w:bCs/>
          <w:sz w:val="24"/>
          <w:szCs w:val="24"/>
          <w:u w:val="single"/>
        </w:rPr>
        <w:lastRenderedPageBreak/>
        <w:t>The case of William Monke</w:t>
      </w:r>
      <w:r w:rsidR="000762BC" w:rsidRPr="00862139">
        <w:rPr>
          <w:rFonts w:ascii="Arial" w:hAnsi="Arial" w:cs="Arial"/>
          <w:b/>
          <w:bCs/>
          <w:sz w:val="24"/>
          <w:szCs w:val="24"/>
          <w:u w:val="single"/>
        </w:rPr>
        <w:t>:</w:t>
      </w:r>
    </w:p>
    <w:p w14:paraId="1F070127" w14:textId="77777777" w:rsidR="00E23797" w:rsidRPr="00424846" w:rsidRDefault="005C44E1" w:rsidP="00862139">
      <w:pPr>
        <w:spacing w:line="480" w:lineRule="auto"/>
        <w:jc w:val="both"/>
        <w:rPr>
          <w:rFonts w:ascii="Arial" w:hAnsi="Arial" w:cs="Arial"/>
          <w:sz w:val="24"/>
          <w:szCs w:val="24"/>
        </w:rPr>
      </w:pPr>
      <w:r w:rsidRPr="00424846">
        <w:rPr>
          <w:rFonts w:ascii="Arial" w:hAnsi="Arial" w:cs="Arial"/>
          <w:sz w:val="24"/>
          <w:szCs w:val="24"/>
        </w:rPr>
        <w:t xml:space="preserve">The case of </w:t>
      </w:r>
      <w:r w:rsidR="005B5DCE" w:rsidRPr="00424846">
        <w:rPr>
          <w:rFonts w:ascii="Arial" w:hAnsi="Arial" w:cs="Arial"/>
          <w:sz w:val="24"/>
          <w:szCs w:val="24"/>
        </w:rPr>
        <w:t xml:space="preserve">William </w:t>
      </w:r>
      <w:r w:rsidRPr="00424846">
        <w:rPr>
          <w:rFonts w:ascii="Arial" w:hAnsi="Arial" w:cs="Arial"/>
          <w:sz w:val="24"/>
          <w:szCs w:val="24"/>
        </w:rPr>
        <w:t xml:space="preserve">Monke </w:t>
      </w:r>
      <w:r w:rsidR="00717ADF" w:rsidRPr="00424846">
        <w:rPr>
          <w:rFonts w:ascii="Arial" w:hAnsi="Arial" w:cs="Arial"/>
          <w:sz w:val="24"/>
          <w:szCs w:val="24"/>
        </w:rPr>
        <w:t>is a vital case that sheds light on the devastating risks associated with reinstating judicial torture and the immunity provided by the court to investigators when a suspect is torture</w:t>
      </w:r>
      <w:r w:rsidR="000762BC" w:rsidRPr="00424846">
        <w:rPr>
          <w:rFonts w:ascii="Arial" w:hAnsi="Arial" w:cs="Arial"/>
          <w:sz w:val="24"/>
          <w:szCs w:val="24"/>
        </w:rPr>
        <w:t>d</w:t>
      </w:r>
      <w:r w:rsidR="00717ADF" w:rsidRPr="00424846">
        <w:rPr>
          <w:rFonts w:ascii="Arial" w:hAnsi="Arial" w:cs="Arial"/>
          <w:sz w:val="24"/>
          <w:szCs w:val="24"/>
        </w:rPr>
        <w:t xml:space="preserve">. </w:t>
      </w:r>
    </w:p>
    <w:p w14:paraId="777A0FD8" w14:textId="66CC6BAD" w:rsidR="00E23797" w:rsidRPr="00424846" w:rsidRDefault="00717ADF" w:rsidP="00862139">
      <w:pPr>
        <w:spacing w:line="480" w:lineRule="auto"/>
        <w:jc w:val="both"/>
        <w:rPr>
          <w:rFonts w:ascii="Arial" w:hAnsi="Arial" w:cs="Arial"/>
          <w:sz w:val="24"/>
          <w:szCs w:val="24"/>
        </w:rPr>
      </w:pPr>
      <w:r w:rsidRPr="00424846">
        <w:rPr>
          <w:rFonts w:ascii="Arial" w:hAnsi="Arial" w:cs="Arial"/>
          <w:sz w:val="24"/>
          <w:szCs w:val="24"/>
        </w:rPr>
        <w:t>The case consisted of Monke being accused by Mr and Mrs Blackborn</w:t>
      </w:r>
      <w:r w:rsidR="000762BC" w:rsidRPr="00424846">
        <w:rPr>
          <w:rFonts w:ascii="Arial" w:hAnsi="Arial" w:cs="Arial"/>
          <w:sz w:val="24"/>
          <w:szCs w:val="24"/>
        </w:rPr>
        <w:t>e</w:t>
      </w:r>
      <w:r w:rsidRPr="00424846">
        <w:rPr>
          <w:rFonts w:ascii="Arial" w:hAnsi="Arial" w:cs="Arial"/>
          <w:sz w:val="24"/>
          <w:szCs w:val="24"/>
        </w:rPr>
        <w:t xml:space="preserve"> of high treason, leading the Privy Council to issue a torture warrant for Mr Monke</w:t>
      </w:r>
      <w:r w:rsidR="006170D8" w:rsidRPr="00424846">
        <w:rPr>
          <w:rFonts w:ascii="Arial" w:hAnsi="Arial" w:cs="Arial"/>
          <w:sz w:val="24"/>
          <w:szCs w:val="24"/>
        </w:rPr>
        <w:t xml:space="preserve"> </w:t>
      </w:r>
      <w:r w:rsidRPr="00424846">
        <w:rPr>
          <w:rFonts w:ascii="Arial" w:hAnsi="Arial" w:cs="Arial"/>
          <w:sz w:val="24"/>
          <w:szCs w:val="24"/>
        </w:rPr>
        <w:t>to be interrogated to confess to his crime. Monke was subsequently tortured upon the rack</w:t>
      </w:r>
      <w:r w:rsidR="000762BC" w:rsidRPr="00424846">
        <w:rPr>
          <w:rFonts w:ascii="Arial" w:hAnsi="Arial" w:cs="Arial"/>
          <w:sz w:val="24"/>
          <w:szCs w:val="24"/>
        </w:rPr>
        <w:t xml:space="preserve">, </w:t>
      </w:r>
      <w:r w:rsidRPr="00424846">
        <w:rPr>
          <w:rFonts w:ascii="Arial" w:hAnsi="Arial" w:cs="Arial"/>
          <w:sz w:val="24"/>
          <w:szCs w:val="24"/>
        </w:rPr>
        <w:t>rending him completely disabled</w:t>
      </w:r>
      <w:r w:rsidR="000762BC" w:rsidRPr="00424846">
        <w:rPr>
          <w:rFonts w:ascii="Arial" w:hAnsi="Arial" w:cs="Arial"/>
          <w:sz w:val="24"/>
          <w:szCs w:val="24"/>
        </w:rPr>
        <w:t xml:space="preserve"> and</w:t>
      </w:r>
      <w:r w:rsidRPr="00424846">
        <w:rPr>
          <w:rFonts w:ascii="Arial" w:hAnsi="Arial" w:cs="Arial"/>
          <w:sz w:val="24"/>
          <w:szCs w:val="24"/>
        </w:rPr>
        <w:t xml:space="preserve"> unable to provide for his 9 children and wife, all whilst </w:t>
      </w:r>
      <w:r w:rsidR="000762BC" w:rsidRPr="00424846">
        <w:rPr>
          <w:rFonts w:ascii="Arial" w:hAnsi="Arial" w:cs="Arial"/>
          <w:sz w:val="24"/>
          <w:szCs w:val="24"/>
        </w:rPr>
        <w:t xml:space="preserve">maintaining his innocence. After the damage was done and injury was inflicted, the investigation uncovered that the claims made by the Blackborne’s were maliciously falsified and Monke was not guilty of any crime. </w:t>
      </w:r>
      <w:r w:rsidR="00E23797" w:rsidRPr="00424846">
        <w:rPr>
          <w:rFonts w:ascii="Arial" w:hAnsi="Arial" w:cs="Arial"/>
          <w:sz w:val="24"/>
          <w:szCs w:val="24"/>
        </w:rPr>
        <w:t xml:space="preserve">    </w:t>
      </w:r>
      <w:r w:rsidR="000762BC" w:rsidRPr="00424846">
        <w:rPr>
          <w:rFonts w:ascii="Arial" w:hAnsi="Arial" w:cs="Arial"/>
          <w:sz w:val="24"/>
          <w:szCs w:val="24"/>
        </w:rPr>
        <w:t>The interrogators, however, could not be criminalised for their act due to t</w:t>
      </w:r>
      <w:r w:rsidR="002B4295" w:rsidRPr="00424846">
        <w:rPr>
          <w:rFonts w:ascii="Arial" w:hAnsi="Arial" w:cs="Arial"/>
          <w:sz w:val="24"/>
          <w:szCs w:val="24"/>
        </w:rPr>
        <w:t>he immunity they enjoy as a result of the warrant and the Blackborne’s did not satisfy the express requirements of battery or trespass</w:t>
      </w:r>
      <w:r w:rsidR="00E23797" w:rsidRPr="00424846">
        <w:rPr>
          <w:rFonts w:ascii="Arial" w:hAnsi="Arial" w:cs="Arial"/>
          <w:sz w:val="24"/>
          <w:szCs w:val="24"/>
        </w:rPr>
        <w:t xml:space="preserve"> in order to warrant prosecution, </w:t>
      </w:r>
      <w:r w:rsidR="002B4295" w:rsidRPr="00424846">
        <w:rPr>
          <w:rFonts w:ascii="Arial" w:hAnsi="Arial" w:cs="Arial"/>
          <w:sz w:val="24"/>
          <w:szCs w:val="24"/>
        </w:rPr>
        <w:t xml:space="preserve">had </w:t>
      </w:r>
      <w:r w:rsidR="00E23797" w:rsidRPr="00424846">
        <w:rPr>
          <w:rFonts w:ascii="Arial" w:hAnsi="Arial" w:cs="Arial"/>
          <w:sz w:val="24"/>
          <w:szCs w:val="24"/>
        </w:rPr>
        <w:t>Monke</w:t>
      </w:r>
      <w:r w:rsidR="002B4295" w:rsidRPr="00424846">
        <w:rPr>
          <w:rFonts w:ascii="Arial" w:hAnsi="Arial" w:cs="Arial"/>
          <w:sz w:val="24"/>
          <w:szCs w:val="24"/>
        </w:rPr>
        <w:t xml:space="preserve"> pursued a trial. </w:t>
      </w:r>
      <w:r w:rsidR="00F15257" w:rsidRPr="00424846">
        <w:rPr>
          <w:rFonts w:ascii="Arial" w:hAnsi="Arial" w:cs="Arial"/>
          <w:sz w:val="24"/>
          <w:szCs w:val="24"/>
        </w:rPr>
        <w:t>So</w:t>
      </w:r>
      <w:r w:rsidR="00E50C69" w:rsidRPr="00424846">
        <w:rPr>
          <w:rFonts w:ascii="Arial" w:hAnsi="Arial" w:cs="Arial"/>
          <w:sz w:val="24"/>
          <w:szCs w:val="24"/>
        </w:rPr>
        <w:t xml:space="preserve">, </w:t>
      </w:r>
      <w:r w:rsidR="00F15257" w:rsidRPr="00424846">
        <w:rPr>
          <w:rFonts w:ascii="Arial" w:hAnsi="Arial" w:cs="Arial"/>
          <w:sz w:val="24"/>
          <w:szCs w:val="24"/>
        </w:rPr>
        <w:t xml:space="preserve">ultimately, </w:t>
      </w:r>
      <w:r w:rsidR="00E50C69" w:rsidRPr="00424846">
        <w:rPr>
          <w:rFonts w:ascii="Arial" w:hAnsi="Arial" w:cs="Arial"/>
          <w:sz w:val="24"/>
          <w:szCs w:val="24"/>
        </w:rPr>
        <w:t>nothing was done to the Blackborne’s or the</w:t>
      </w:r>
      <w:r w:rsidR="00781D5A" w:rsidRPr="00424846">
        <w:rPr>
          <w:rFonts w:ascii="Arial" w:hAnsi="Arial" w:cs="Arial"/>
          <w:sz w:val="24"/>
          <w:szCs w:val="24"/>
        </w:rPr>
        <w:t xml:space="preserve"> interrogators</w:t>
      </w:r>
      <w:r w:rsidR="00F15257" w:rsidRPr="00424846">
        <w:rPr>
          <w:rFonts w:ascii="Arial" w:hAnsi="Arial" w:cs="Arial"/>
          <w:sz w:val="24"/>
          <w:szCs w:val="24"/>
        </w:rPr>
        <w:t xml:space="preserve"> for their crimes</w:t>
      </w:r>
      <w:r w:rsidR="00086008" w:rsidRPr="00424846">
        <w:rPr>
          <w:rStyle w:val="FootnoteReference"/>
          <w:rFonts w:ascii="Arial" w:hAnsi="Arial" w:cs="Arial"/>
          <w:sz w:val="24"/>
          <w:szCs w:val="24"/>
        </w:rPr>
        <w:footnoteReference w:id="49"/>
      </w:r>
      <w:r w:rsidR="00F15257" w:rsidRPr="00424846">
        <w:rPr>
          <w:rFonts w:ascii="Arial" w:hAnsi="Arial" w:cs="Arial"/>
          <w:sz w:val="24"/>
          <w:szCs w:val="24"/>
        </w:rPr>
        <w:t xml:space="preserve">. </w:t>
      </w:r>
    </w:p>
    <w:p w14:paraId="6BC76555" w14:textId="6657924A" w:rsidR="00BD769D" w:rsidRPr="00424846" w:rsidRDefault="00E23797" w:rsidP="00862139">
      <w:pPr>
        <w:spacing w:line="480" w:lineRule="auto"/>
        <w:jc w:val="both"/>
        <w:rPr>
          <w:rFonts w:ascii="Arial" w:hAnsi="Arial" w:cs="Arial"/>
          <w:sz w:val="24"/>
          <w:szCs w:val="24"/>
        </w:rPr>
      </w:pPr>
      <w:r w:rsidRPr="00424846">
        <w:rPr>
          <w:rFonts w:ascii="Arial" w:hAnsi="Arial" w:cs="Arial"/>
          <w:sz w:val="24"/>
          <w:szCs w:val="24"/>
        </w:rPr>
        <w:t>This case can be c</w:t>
      </w:r>
      <w:r w:rsidR="00C345D3" w:rsidRPr="00424846">
        <w:rPr>
          <w:rFonts w:ascii="Arial" w:hAnsi="Arial" w:cs="Arial"/>
          <w:sz w:val="24"/>
          <w:szCs w:val="24"/>
        </w:rPr>
        <w:t xml:space="preserve">ompared </w:t>
      </w:r>
      <w:r w:rsidR="001E6E7D" w:rsidRPr="00424846">
        <w:rPr>
          <w:rFonts w:ascii="Arial" w:hAnsi="Arial" w:cs="Arial"/>
          <w:sz w:val="24"/>
          <w:szCs w:val="24"/>
        </w:rPr>
        <w:t>to</w:t>
      </w:r>
      <w:r w:rsidRPr="00424846">
        <w:rPr>
          <w:rFonts w:ascii="Arial" w:hAnsi="Arial" w:cs="Arial"/>
          <w:sz w:val="24"/>
          <w:szCs w:val="24"/>
        </w:rPr>
        <w:t xml:space="preserve"> </w:t>
      </w:r>
      <w:r w:rsidR="00C345D3" w:rsidRPr="00424846">
        <w:rPr>
          <w:rFonts w:ascii="Arial" w:hAnsi="Arial" w:cs="Arial"/>
          <w:sz w:val="24"/>
          <w:szCs w:val="24"/>
        </w:rPr>
        <w:t>recent cases of former Guantanomo Bay detainees</w:t>
      </w:r>
      <w:r w:rsidR="000F0DA4" w:rsidRPr="00424846">
        <w:rPr>
          <w:rFonts w:ascii="Arial" w:hAnsi="Arial" w:cs="Arial"/>
          <w:sz w:val="24"/>
          <w:szCs w:val="24"/>
        </w:rPr>
        <w:t xml:space="preserve">, who have been </w:t>
      </w:r>
      <w:r w:rsidRPr="00424846">
        <w:rPr>
          <w:rFonts w:ascii="Arial" w:hAnsi="Arial" w:cs="Arial"/>
          <w:sz w:val="24"/>
          <w:szCs w:val="24"/>
        </w:rPr>
        <w:t>raising</w:t>
      </w:r>
      <w:r w:rsidR="000F0DA4" w:rsidRPr="00424846">
        <w:rPr>
          <w:rFonts w:ascii="Arial" w:hAnsi="Arial" w:cs="Arial"/>
          <w:sz w:val="24"/>
          <w:szCs w:val="24"/>
        </w:rPr>
        <w:t xml:space="preserve"> civil </w:t>
      </w:r>
      <w:r w:rsidRPr="00424846">
        <w:rPr>
          <w:rFonts w:ascii="Arial" w:hAnsi="Arial" w:cs="Arial"/>
          <w:sz w:val="24"/>
          <w:szCs w:val="24"/>
        </w:rPr>
        <w:t>claims</w:t>
      </w:r>
      <w:r w:rsidR="000F0DA4" w:rsidRPr="00424846">
        <w:rPr>
          <w:rFonts w:ascii="Arial" w:hAnsi="Arial" w:cs="Arial"/>
          <w:sz w:val="24"/>
          <w:szCs w:val="24"/>
        </w:rPr>
        <w:t xml:space="preserve"> against the UK government for participating or knowingly allowing torture interrogations to happen</w:t>
      </w:r>
      <w:r w:rsidR="003151A3" w:rsidRPr="00424846">
        <w:rPr>
          <w:rFonts w:ascii="Arial" w:hAnsi="Arial" w:cs="Arial"/>
          <w:sz w:val="24"/>
          <w:szCs w:val="24"/>
        </w:rPr>
        <w:t xml:space="preserve"> by US officials</w:t>
      </w:r>
      <w:r w:rsidRPr="00424846">
        <w:rPr>
          <w:rFonts w:ascii="Arial" w:hAnsi="Arial" w:cs="Arial"/>
          <w:sz w:val="24"/>
          <w:szCs w:val="24"/>
        </w:rPr>
        <w:t xml:space="preserve"> on British citizens. </w:t>
      </w:r>
      <w:r w:rsidR="00FE2A31" w:rsidRPr="00424846">
        <w:rPr>
          <w:rFonts w:ascii="Arial" w:hAnsi="Arial" w:cs="Arial"/>
          <w:sz w:val="24"/>
          <w:szCs w:val="24"/>
        </w:rPr>
        <w:t xml:space="preserve">   </w:t>
      </w:r>
      <w:r w:rsidRPr="00424846">
        <w:rPr>
          <w:rFonts w:ascii="Arial" w:hAnsi="Arial" w:cs="Arial"/>
          <w:sz w:val="24"/>
          <w:szCs w:val="24"/>
        </w:rPr>
        <w:t>O</w:t>
      </w:r>
      <w:r w:rsidR="003151A3" w:rsidRPr="00424846">
        <w:rPr>
          <w:rFonts w:ascii="Arial" w:hAnsi="Arial" w:cs="Arial"/>
          <w:sz w:val="24"/>
          <w:szCs w:val="24"/>
        </w:rPr>
        <w:t>ne of them being Shaker Aemer</w:t>
      </w:r>
      <w:r w:rsidR="00432711" w:rsidRPr="00424846">
        <w:rPr>
          <w:rFonts w:ascii="Arial" w:hAnsi="Arial" w:cs="Arial"/>
          <w:sz w:val="24"/>
          <w:szCs w:val="24"/>
        </w:rPr>
        <w:t xml:space="preserve">, </w:t>
      </w:r>
      <w:r w:rsidR="00EF1736" w:rsidRPr="00424846">
        <w:rPr>
          <w:rFonts w:ascii="Arial" w:hAnsi="Arial" w:cs="Arial"/>
          <w:sz w:val="24"/>
          <w:szCs w:val="24"/>
        </w:rPr>
        <w:t>who was detained</w:t>
      </w:r>
      <w:r w:rsidRPr="00424846">
        <w:rPr>
          <w:rFonts w:ascii="Arial" w:hAnsi="Arial" w:cs="Arial"/>
          <w:sz w:val="24"/>
          <w:szCs w:val="24"/>
        </w:rPr>
        <w:t xml:space="preserve">, </w:t>
      </w:r>
      <w:r w:rsidR="00EF1736" w:rsidRPr="00424846">
        <w:rPr>
          <w:rFonts w:ascii="Arial" w:hAnsi="Arial" w:cs="Arial"/>
          <w:sz w:val="24"/>
          <w:szCs w:val="24"/>
        </w:rPr>
        <w:t xml:space="preserve">under the </w:t>
      </w:r>
      <w:r w:rsidR="00432711" w:rsidRPr="00424846">
        <w:rPr>
          <w:rFonts w:ascii="Arial" w:hAnsi="Arial" w:cs="Arial"/>
          <w:sz w:val="24"/>
          <w:szCs w:val="24"/>
        </w:rPr>
        <w:t xml:space="preserve">wrongful </w:t>
      </w:r>
      <w:r w:rsidR="00EF1736" w:rsidRPr="00424846">
        <w:rPr>
          <w:rFonts w:ascii="Arial" w:hAnsi="Arial" w:cs="Arial"/>
          <w:sz w:val="24"/>
          <w:szCs w:val="24"/>
        </w:rPr>
        <w:t>suspicion</w:t>
      </w:r>
      <w:r w:rsidRPr="00424846">
        <w:rPr>
          <w:rFonts w:ascii="Arial" w:hAnsi="Arial" w:cs="Arial"/>
          <w:sz w:val="24"/>
          <w:szCs w:val="24"/>
        </w:rPr>
        <w:t xml:space="preserve"> </w:t>
      </w:r>
      <w:r w:rsidR="00EF1736" w:rsidRPr="00424846">
        <w:rPr>
          <w:rFonts w:ascii="Arial" w:hAnsi="Arial" w:cs="Arial"/>
          <w:sz w:val="24"/>
          <w:szCs w:val="24"/>
        </w:rPr>
        <w:t xml:space="preserve">that he was </w:t>
      </w:r>
      <w:r w:rsidRPr="00424846">
        <w:rPr>
          <w:rFonts w:ascii="Arial" w:hAnsi="Arial" w:cs="Arial"/>
          <w:sz w:val="24"/>
          <w:szCs w:val="24"/>
        </w:rPr>
        <w:t xml:space="preserve">a member of Al-Qaid’ah, and subsequently </w:t>
      </w:r>
      <w:r w:rsidR="00EF1736" w:rsidRPr="00424846">
        <w:rPr>
          <w:rFonts w:ascii="Arial" w:hAnsi="Arial" w:cs="Arial"/>
          <w:sz w:val="24"/>
          <w:szCs w:val="24"/>
        </w:rPr>
        <w:t>tortur</w:t>
      </w:r>
      <w:r w:rsidRPr="00424846">
        <w:rPr>
          <w:rFonts w:ascii="Arial" w:hAnsi="Arial" w:cs="Arial"/>
          <w:sz w:val="24"/>
          <w:szCs w:val="24"/>
        </w:rPr>
        <w:t>ed</w:t>
      </w:r>
      <w:r w:rsidR="00F46199" w:rsidRPr="00424846">
        <w:rPr>
          <w:rFonts w:ascii="Arial" w:hAnsi="Arial" w:cs="Arial"/>
          <w:sz w:val="24"/>
          <w:szCs w:val="24"/>
        </w:rPr>
        <w:t xml:space="preserve"> to provide information</w:t>
      </w:r>
      <w:r w:rsidR="00432711" w:rsidRPr="00424846">
        <w:rPr>
          <w:rFonts w:ascii="Arial" w:hAnsi="Arial" w:cs="Arial"/>
          <w:sz w:val="24"/>
          <w:szCs w:val="24"/>
        </w:rPr>
        <w:t xml:space="preserve"> to support the state during the war on terror period</w:t>
      </w:r>
      <w:r w:rsidRPr="00424846">
        <w:rPr>
          <w:rFonts w:ascii="Arial" w:hAnsi="Arial" w:cs="Arial"/>
          <w:sz w:val="24"/>
          <w:szCs w:val="24"/>
        </w:rPr>
        <w:t>. Although, torture is illegal</w:t>
      </w:r>
      <w:r w:rsidR="00432711" w:rsidRPr="00424846">
        <w:rPr>
          <w:rFonts w:ascii="Arial" w:hAnsi="Arial" w:cs="Arial"/>
          <w:sz w:val="24"/>
          <w:szCs w:val="24"/>
        </w:rPr>
        <w:t xml:space="preserve">, no officials or commanders were ever </w:t>
      </w:r>
      <w:r w:rsidR="00A842C1" w:rsidRPr="00424846">
        <w:rPr>
          <w:rFonts w:ascii="Arial" w:hAnsi="Arial" w:cs="Arial"/>
          <w:sz w:val="24"/>
          <w:szCs w:val="24"/>
        </w:rPr>
        <w:t xml:space="preserve">personally </w:t>
      </w:r>
      <w:r w:rsidR="00432711" w:rsidRPr="00424846">
        <w:rPr>
          <w:rFonts w:ascii="Arial" w:hAnsi="Arial" w:cs="Arial"/>
          <w:sz w:val="24"/>
          <w:szCs w:val="24"/>
        </w:rPr>
        <w:t xml:space="preserve">convicted of a crime of torture. The only contrast between both cases </w:t>
      </w:r>
      <w:r w:rsidR="00E3797F" w:rsidRPr="00424846">
        <w:rPr>
          <w:rFonts w:ascii="Arial" w:hAnsi="Arial" w:cs="Arial"/>
          <w:sz w:val="24"/>
          <w:szCs w:val="24"/>
        </w:rPr>
        <w:t xml:space="preserve">are that, the one concerning Aemer </w:t>
      </w:r>
      <w:r w:rsidR="00CD5919" w:rsidRPr="00424846">
        <w:rPr>
          <w:rFonts w:ascii="Arial" w:hAnsi="Arial" w:cs="Arial"/>
          <w:sz w:val="24"/>
          <w:szCs w:val="24"/>
        </w:rPr>
        <w:t xml:space="preserve">led to some </w:t>
      </w:r>
      <w:r w:rsidR="00540BF6" w:rsidRPr="00424846">
        <w:rPr>
          <w:rFonts w:ascii="Arial" w:hAnsi="Arial" w:cs="Arial"/>
          <w:sz w:val="24"/>
          <w:szCs w:val="24"/>
        </w:rPr>
        <w:lastRenderedPageBreak/>
        <w:t>accountability</w:t>
      </w:r>
      <w:r w:rsidR="00FE2A31" w:rsidRPr="00424846">
        <w:rPr>
          <w:rFonts w:ascii="Arial" w:hAnsi="Arial" w:cs="Arial"/>
          <w:sz w:val="24"/>
          <w:szCs w:val="24"/>
        </w:rPr>
        <w:t xml:space="preserve">, </w:t>
      </w:r>
      <w:r w:rsidR="00540BF6" w:rsidRPr="00424846">
        <w:rPr>
          <w:rFonts w:ascii="Arial" w:hAnsi="Arial" w:cs="Arial"/>
          <w:sz w:val="24"/>
          <w:szCs w:val="24"/>
        </w:rPr>
        <w:t xml:space="preserve">as </w:t>
      </w:r>
      <w:r w:rsidR="00CD5919" w:rsidRPr="00424846">
        <w:rPr>
          <w:rFonts w:ascii="Arial" w:hAnsi="Arial" w:cs="Arial"/>
          <w:sz w:val="24"/>
          <w:szCs w:val="24"/>
        </w:rPr>
        <w:t>compensation</w:t>
      </w:r>
      <w:r w:rsidR="00540BF6" w:rsidRPr="00424846">
        <w:rPr>
          <w:rFonts w:ascii="Arial" w:hAnsi="Arial" w:cs="Arial"/>
          <w:sz w:val="24"/>
          <w:szCs w:val="24"/>
        </w:rPr>
        <w:t xml:space="preserve"> was issued by the state for their crime</w:t>
      </w:r>
      <w:r w:rsidR="00596AEB" w:rsidRPr="00424846">
        <w:rPr>
          <w:rFonts w:ascii="Arial" w:hAnsi="Arial" w:cs="Arial"/>
          <w:sz w:val="24"/>
          <w:szCs w:val="24"/>
        </w:rPr>
        <w:t>,</w:t>
      </w:r>
      <w:r w:rsidRPr="00424846">
        <w:rPr>
          <w:rFonts w:ascii="Arial" w:hAnsi="Arial" w:cs="Arial"/>
          <w:sz w:val="24"/>
          <w:szCs w:val="24"/>
        </w:rPr>
        <w:t xml:space="preserve"> </w:t>
      </w:r>
      <w:r w:rsidR="00540BF6" w:rsidRPr="00424846">
        <w:rPr>
          <w:rFonts w:ascii="Arial" w:hAnsi="Arial" w:cs="Arial"/>
          <w:sz w:val="24"/>
          <w:szCs w:val="24"/>
        </w:rPr>
        <w:t>producing some positive outcome.</w:t>
      </w:r>
      <w:r w:rsidR="00FE2A31" w:rsidRPr="00424846">
        <w:rPr>
          <w:rFonts w:ascii="Arial" w:hAnsi="Arial" w:cs="Arial"/>
          <w:sz w:val="24"/>
          <w:szCs w:val="24"/>
        </w:rPr>
        <w:t xml:space="preserve">    </w:t>
      </w:r>
      <w:r w:rsidRPr="00424846">
        <w:rPr>
          <w:rFonts w:ascii="Arial" w:hAnsi="Arial" w:cs="Arial"/>
          <w:sz w:val="24"/>
          <w:szCs w:val="24"/>
        </w:rPr>
        <w:t>But, the similarities between them are abundant</w:t>
      </w:r>
      <w:r w:rsidR="00FE2A31" w:rsidRPr="00424846">
        <w:rPr>
          <w:rFonts w:ascii="Arial" w:hAnsi="Arial" w:cs="Arial"/>
          <w:sz w:val="24"/>
          <w:szCs w:val="24"/>
        </w:rPr>
        <w:t xml:space="preserve">, </w:t>
      </w:r>
      <w:r w:rsidRPr="00424846">
        <w:rPr>
          <w:rFonts w:ascii="Arial" w:hAnsi="Arial" w:cs="Arial"/>
          <w:sz w:val="24"/>
          <w:szCs w:val="24"/>
        </w:rPr>
        <w:t xml:space="preserve">as </w:t>
      </w:r>
      <w:r w:rsidR="00CD5919" w:rsidRPr="00424846">
        <w:rPr>
          <w:rFonts w:ascii="Arial" w:hAnsi="Arial" w:cs="Arial"/>
          <w:sz w:val="24"/>
          <w:szCs w:val="24"/>
        </w:rPr>
        <w:t xml:space="preserve">both cases illustrate that </w:t>
      </w:r>
      <w:r w:rsidR="00BA21E0" w:rsidRPr="00424846">
        <w:rPr>
          <w:rFonts w:ascii="Arial" w:hAnsi="Arial" w:cs="Arial"/>
          <w:sz w:val="24"/>
          <w:szCs w:val="24"/>
        </w:rPr>
        <w:t xml:space="preserve">state </w:t>
      </w:r>
      <w:r w:rsidR="00CD5919" w:rsidRPr="00424846">
        <w:rPr>
          <w:rFonts w:ascii="Arial" w:hAnsi="Arial" w:cs="Arial"/>
          <w:sz w:val="24"/>
          <w:szCs w:val="24"/>
        </w:rPr>
        <w:t>torture, whether used then or now, leads to the abuse of innocent people</w:t>
      </w:r>
      <w:r w:rsidR="001E6E7D" w:rsidRPr="00424846">
        <w:rPr>
          <w:rFonts w:ascii="Arial" w:hAnsi="Arial" w:cs="Arial"/>
          <w:sz w:val="24"/>
          <w:szCs w:val="24"/>
        </w:rPr>
        <w:t xml:space="preserve"> </w:t>
      </w:r>
      <w:r w:rsidR="00CD5919" w:rsidRPr="00424846">
        <w:rPr>
          <w:rFonts w:ascii="Arial" w:hAnsi="Arial" w:cs="Arial"/>
          <w:sz w:val="24"/>
          <w:szCs w:val="24"/>
        </w:rPr>
        <w:t>and does not produce information that is accurate or reliable</w:t>
      </w:r>
      <w:r w:rsidR="00CD5919" w:rsidRPr="00424846">
        <w:rPr>
          <w:rStyle w:val="FootnoteReference"/>
          <w:rFonts w:ascii="Arial" w:hAnsi="Arial" w:cs="Arial"/>
          <w:sz w:val="24"/>
          <w:szCs w:val="24"/>
        </w:rPr>
        <w:footnoteReference w:id="50"/>
      </w:r>
      <w:r w:rsidR="00CD5919" w:rsidRPr="00424846">
        <w:rPr>
          <w:rFonts w:ascii="Arial" w:hAnsi="Arial" w:cs="Arial"/>
          <w:sz w:val="24"/>
          <w:szCs w:val="24"/>
        </w:rPr>
        <w:t xml:space="preserve">. </w:t>
      </w:r>
      <w:r w:rsidR="00846882" w:rsidRPr="00424846">
        <w:rPr>
          <w:rFonts w:ascii="Arial" w:hAnsi="Arial" w:cs="Arial"/>
          <w:sz w:val="24"/>
          <w:szCs w:val="24"/>
        </w:rPr>
        <w:t xml:space="preserve">Therefore, </w:t>
      </w:r>
      <w:r w:rsidR="001F71FD" w:rsidRPr="00424846">
        <w:rPr>
          <w:rFonts w:ascii="Arial" w:hAnsi="Arial" w:cs="Arial"/>
          <w:sz w:val="24"/>
          <w:szCs w:val="24"/>
        </w:rPr>
        <w:t xml:space="preserve">proving that the prohibition of torture in current English law, would not benefit from </w:t>
      </w:r>
      <w:r w:rsidR="00540BF6" w:rsidRPr="00424846">
        <w:rPr>
          <w:rFonts w:ascii="Arial" w:hAnsi="Arial" w:cs="Arial"/>
          <w:sz w:val="24"/>
          <w:szCs w:val="24"/>
        </w:rPr>
        <w:t>reinstatement</w:t>
      </w:r>
      <w:r w:rsidR="001F71FD" w:rsidRPr="00424846">
        <w:rPr>
          <w:rFonts w:ascii="Arial" w:hAnsi="Arial" w:cs="Arial"/>
          <w:sz w:val="24"/>
          <w:szCs w:val="24"/>
        </w:rPr>
        <w:t xml:space="preserve">, as it should remain illegal. </w:t>
      </w:r>
    </w:p>
    <w:p w14:paraId="0C9D5FC7" w14:textId="0C6FFE6F" w:rsidR="00975B4F" w:rsidRPr="00424846" w:rsidRDefault="00975B4F" w:rsidP="00862139">
      <w:pPr>
        <w:spacing w:line="480" w:lineRule="auto"/>
        <w:jc w:val="both"/>
        <w:rPr>
          <w:rFonts w:ascii="Arial" w:hAnsi="Arial" w:cs="Arial"/>
          <w:sz w:val="24"/>
          <w:szCs w:val="24"/>
        </w:rPr>
      </w:pPr>
    </w:p>
    <w:p w14:paraId="42C45860" w14:textId="666B4AC7" w:rsidR="00A14766" w:rsidRPr="00424846" w:rsidRDefault="00A14766" w:rsidP="00862139">
      <w:pPr>
        <w:spacing w:line="480" w:lineRule="auto"/>
        <w:jc w:val="both"/>
        <w:rPr>
          <w:rFonts w:ascii="Arial" w:hAnsi="Arial" w:cs="Arial"/>
          <w:sz w:val="24"/>
          <w:szCs w:val="24"/>
        </w:rPr>
      </w:pPr>
    </w:p>
    <w:p w14:paraId="02189565" w14:textId="0427EA5C" w:rsidR="00B7223A" w:rsidRPr="00424846" w:rsidRDefault="00B7223A" w:rsidP="00862139">
      <w:pPr>
        <w:spacing w:line="480" w:lineRule="auto"/>
        <w:jc w:val="both"/>
        <w:rPr>
          <w:rFonts w:ascii="Arial" w:hAnsi="Arial" w:cs="Arial"/>
          <w:sz w:val="24"/>
          <w:szCs w:val="24"/>
        </w:rPr>
      </w:pPr>
    </w:p>
    <w:p w14:paraId="724AF176" w14:textId="17DC342A" w:rsidR="00154415" w:rsidRPr="00424846" w:rsidRDefault="00154415" w:rsidP="00862139">
      <w:pPr>
        <w:spacing w:line="480" w:lineRule="auto"/>
        <w:jc w:val="both"/>
        <w:rPr>
          <w:rFonts w:ascii="Arial" w:hAnsi="Arial" w:cs="Arial"/>
          <w:sz w:val="24"/>
          <w:szCs w:val="24"/>
        </w:rPr>
      </w:pPr>
    </w:p>
    <w:p w14:paraId="17EA8875" w14:textId="16530C2E" w:rsidR="00AF18B0" w:rsidRDefault="00AF18B0" w:rsidP="00862139">
      <w:pPr>
        <w:spacing w:line="480" w:lineRule="auto"/>
        <w:jc w:val="both"/>
        <w:rPr>
          <w:rFonts w:ascii="Arial" w:hAnsi="Arial" w:cs="Arial"/>
          <w:sz w:val="24"/>
          <w:szCs w:val="24"/>
        </w:rPr>
      </w:pPr>
    </w:p>
    <w:p w14:paraId="0B06F6AA" w14:textId="253182D8" w:rsidR="00862139" w:rsidRDefault="00862139" w:rsidP="00862139">
      <w:pPr>
        <w:spacing w:line="480" w:lineRule="auto"/>
        <w:jc w:val="both"/>
        <w:rPr>
          <w:rFonts w:ascii="Arial" w:hAnsi="Arial" w:cs="Arial"/>
          <w:sz w:val="24"/>
          <w:szCs w:val="24"/>
        </w:rPr>
      </w:pPr>
    </w:p>
    <w:p w14:paraId="77755CF3" w14:textId="6C7BD73A" w:rsidR="00862139" w:rsidRDefault="00862139" w:rsidP="00862139">
      <w:pPr>
        <w:spacing w:line="480" w:lineRule="auto"/>
        <w:jc w:val="both"/>
        <w:rPr>
          <w:rFonts w:ascii="Arial" w:hAnsi="Arial" w:cs="Arial"/>
          <w:sz w:val="24"/>
          <w:szCs w:val="24"/>
        </w:rPr>
      </w:pPr>
    </w:p>
    <w:p w14:paraId="65FCBD23" w14:textId="2BF0C54D" w:rsidR="00862139" w:rsidRDefault="00862139" w:rsidP="00862139">
      <w:pPr>
        <w:spacing w:line="480" w:lineRule="auto"/>
        <w:jc w:val="both"/>
        <w:rPr>
          <w:rFonts w:ascii="Arial" w:hAnsi="Arial" w:cs="Arial"/>
          <w:sz w:val="24"/>
          <w:szCs w:val="24"/>
        </w:rPr>
      </w:pPr>
    </w:p>
    <w:p w14:paraId="4ECDEFCA" w14:textId="4D7509E6" w:rsidR="00862139" w:rsidRDefault="00862139" w:rsidP="00862139">
      <w:pPr>
        <w:spacing w:line="480" w:lineRule="auto"/>
        <w:jc w:val="both"/>
        <w:rPr>
          <w:rFonts w:ascii="Arial" w:hAnsi="Arial" w:cs="Arial"/>
          <w:sz w:val="24"/>
          <w:szCs w:val="24"/>
        </w:rPr>
      </w:pPr>
    </w:p>
    <w:p w14:paraId="1E099D84" w14:textId="71EC8613" w:rsidR="00862139" w:rsidRDefault="00862139" w:rsidP="00862139">
      <w:pPr>
        <w:spacing w:line="480" w:lineRule="auto"/>
        <w:jc w:val="both"/>
        <w:rPr>
          <w:rFonts w:ascii="Arial" w:hAnsi="Arial" w:cs="Arial"/>
          <w:sz w:val="24"/>
          <w:szCs w:val="24"/>
        </w:rPr>
      </w:pPr>
    </w:p>
    <w:p w14:paraId="19E07ECA" w14:textId="546CD6D6" w:rsidR="00862139" w:rsidRDefault="00862139" w:rsidP="00862139">
      <w:pPr>
        <w:spacing w:line="480" w:lineRule="auto"/>
        <w:jc w:val="both"/>
        <w:rPr>
          <w:rFonts w:ascii="Arial" w:hAnsi="Arial" w:cs="Arial"/>
          <w:sz w:val="24"/>
          <w:szCs w:val="24"/>
        </w:rPr>
      </w:pPr>
    </w:p>
    <w:p w14:paraId="6E7AA635" w14:textId="7247309E" w:rsidR="00862139" w:rsidRDefault="00862139" w:rsidP="00862139">
      <w:pPr>
        <w:spacing w:line="480" w:lineRule="auto"/>
        <w:jc w:val="both"/>
        <w:rPr>
          <w:rFonts w:ascii="Arial" w:hAnsi="Arial" w:cs="Arial"/>
          <w:sz w:val="24"/>
          <w:szCs w:val="24"/>
        </w:rPr>
      </w:pPr>
    </w:p>
    <w:p w14:paraId="5D4713E1" w14:textId="727166CE" w:rsidR="00862139" w:rsidRDefault="00862139" w:rsidP="00862139">
      <w:pPr>
        <w:spacing w:line="480" w:lineRule="auto"/>
        <w:jc w:val="both"/>
        <w:rPr>
          <w:rFonts w:ascii="Arial" w:hAnsi="Arial" w:cs="Arial"/>
          <w:sz w:val="24"/>
          <w:szCs w:val="24"/>
        </w:rPr>
      </w:pPr>
    </w:p>
    <w:p w14:paraId="0381CEB2" w14:textId="77777777" w:rsidR="00862139" w:rsidRPr="00424846" w:rsidRDefault="00862139" w:rsidP="00862139">
      <w:pPr>
        <w:spacing w:line="480" w:lineRule="auto"/>
        <w:jc w:val="both"/>
        <w:rPr>
          <w:rFonts w:ascii="Arial" w:hAnsi="Arial" w:cs="Arial"/>
          <w:sz w:val="24"/>
          <w:szCs w:val="24"/>
        </w:rPr>
      </w:pPr>
    </w:p>
    <w:p w14:paraId="5FE711D5" w14:textId="0AD29295" w:rsidR="005155AE" w:rsidRPr="00862139" w:rsidRDefault="00A14766" w:rsidP="00862139">
      <w:pPr>
        <w:spacing w:line="480" w:lineRule="auto"/>
        <w:jc w:val="center"/>
        <w:rPr>
          <w:rFonts w:ascii="Arial" w:hAnsi="Arial" w:cs="Arial"/>
          <w:b/>
          <w:bCs/>
          <w:sz w:val="28"/>
          <w:szCs w:val="28"/>
          <w:u w:val="single"/>
        </w:rPr>
      </w:pPr>
      <w:r w:rsidRPr="00862139">
        <w:rPr>
          <w:rFonts w:ascii="Arial" w:hAnsi="Arial" w:cs="Arial"/>
          <w:b/>
          <w:bCs/>
          <w:sz w:val="28"/>
          <w:szCs w:val="28"/>
          <w:u w:val="single"/>
        </w:rPr>
        <w:lastRenderedPageBreak/>
        <w:t>Section 2: Legal Perspective</w:t>
      </w:r>
      <w:r w:rsidR="00154415" w:rsidRPr="00862139">
        <w:rPr>
          <w:rFonts w:ascii="Arial" w:hAnsi="Arial" w:cs="Arial"/>
          <w:b/>
          <w:bCs/>
          <w:sz w:val="28"/>
          <w:szCs w:val="28"/>
          <w:u w:val="single"/>
        </w:rPr>
        <w:t xml:space="preserve"> on Torture</w:t>
      </w:r>
    </w:p>
    <w:p w14:paraId="237FB079" w14:textId="4B4E0A90" w:rsidR="009A578F" w:rsidRPr="00862139" w:rsidRDefault="0037250E" w:rsidP="00862139">
      <w:pPr>
        <w:spacing w:line="480" w:lineRule="auto"/>
        <w:jc w:val="center"/>
        <w:rPr>
          <w:rFonts w:ascii="Arial" w:hAnsi="Arial" w:cs="Arial"/>
          <w:b/>
          <w:bCs/>
          <w:sz w:val="24"/>
          <w:szCs w:val="24"/>
          <w:u w:val="single"/>
        </w:rPr>
      </w:pPr>
      <w:r w:rsidRPr="00862139">
        <w:rPr>
          <w:rFonts w:ascii="Arial" w:hAnsi="Arial" w:cs="Arial"/>
          <w:b/>
          <w:bCs/>
          <w:sz w:val="24"/>
          <w:szCs w:val="24"/>
          <w:u w:val="single"/>
        </w:rPr>
        <w:t xml:space="preserve">Domestic </w:t>
      </w:r>
      <w:r w:rsidR="0016566D" w:rsidRPr="00862139">
        <w:rPr>
          <w:rFonts w:ascii="Arial" w:hAnsi="Arial" w:cs="Arial"/>
          <w:b/>
          <w:bCs/>
          <w:sz w:val="24"/>
          <w:szCs w:val="24"/>
          <w:u w:val="single"/>
        </w:rPr>
        <w:t>law on Torture</w:t>
      </w:r>
      <w:r w:rsidR="009A578F" w:rsidRPr="00862139">
        <w:rPr>
          <w:rFonts w:ascii="Arial" w:hAnsi="Arial" w:cs="Arial"/>
          <w:b/>
          <w:bCs/>
          <w:sz w:val="24"/>
          <w:szCs w:val="24"/>
          <w:u w:val="single"/>
        </w:rPr>
        <w:t>:</w:t>
      </w:r>
    </w:p>
    <w:p w14:paraId="1051B7E7" w14:textId="2413868B" w:rsidR="00D14748" w:rsidRPr="00424846" w:rsidRDefault="00E6268E" w:rsidP="00862139">
      <w:pPr>
        <w:spacing w:line="480" w:lineRule="auto"/>
        <w:jc w:val="both"/>
        <w:rPr>
          <w:rFonts w:ascii="Arial" w:hAnsi="Arial" w:cs="Arial"/>
          <w:sz w:val="24"/>
          <w:szCs w:val="24"/>
        </w:rPr>
      </w:pPr>
      <w:r w:rsidRPr="00424846">
        <w:rPr>
          <w:rFonts w:ascii="Arial" w:hAnsi="Arial" w:cs="Arial"/>
          <w:sz w:val="24"/>
          <w:szCs w:val="24"/>
        </w:rPr>
        <w:t>Current</w:t>
      </w:r>
      <w:r w:rsidR="002B47F0" w:rsidRPr="00424846">
        <w:rPr>
          <w:rFonts w:ascii="Arial" w:hAnsi="Arial" w:cs="Arial"/>
          <w:sz w:val="24"/>
          <w:szCs w:val="24"/>
        </w:rPr>
        <w:t xml:space="preserve">ly, English </w:t>
      </w:r>
      <w:r w:rsidRPr="00424846">
        <w:rPr>
          <w:rFonts w:ascii="Arial" w:hAnsi="Arial" w:cs="Arial"/>
          <w:sz w:val="24"/>
          <w:szCs w:val="24"/>
        </w:rPr>
        <w:t xml:space="preserve">domestic law has illegalised torture under </w:t>
      </w:r>
      <w:r w:rsidR="002B47F0" w:rsidRPr="00424846">
        <w:rPr>
          <w:rFonts w:ascii="Arial" w:hAnsi="Arial" w:cs="Arial"/>
          <w:sz w:val="24"/>
          <w:szCs w:val="24"/>
        </w:rPr>
        <w:t xml:space="preserve">the following </w:t>
      </w:r>
      <w:r w:rsidRPr="00424846">
        <w:rPr>
          <w:rFonts w:ascii="Arial" w:hAnsi="Arial" w:cs="Arial"/>
          <w:sz w:val="24"/>
          <w:szCs w:val="24"/>
        </w:rPr>
        <w:t xml:space="preserve">statutes, </w:t>
      </w:r>
      <w:r w:rsidR="008B74B5" w:rsidRPr="00424846">
        <w:rPr>
          <w:rFonts w:ascii="Arial" w:hAnsi="Arial" w:cs="Arial"/>
          <w:sz w:val="24"/>
          <w:szCs w:val="24"/>
        </w:rPr>
        <w:t>s</w:t>
      </w:r>
      <w:r w:rsidRPr="00424846">
        <w:rPr>
          <w:rFonts w:ascii="Arial" w:hAnsi="Arial" w:cs="Arial"/>
          <w:sz w:val="24"/>
          <w:szCs w:val="24"/>
        </w:rPr>
        <w:t xml:space="preserve">ection </w:t>
      </w:r>
      <w:r w:rsidR="008B74B5" w:rsidRPr="00424846">
        <w:rPr>
          <w:rFonts w:ascii="Arial" w:hAnsi="Arial" w:cs="Arial"/>
          <w:sz w:val="24"/>
          <w:szCs w:val="24"/>
        </w:rPr>
        <w:t xml:space="preserve">134 of the Criminal Justice </w:t>
      </w:r>
      <w:r w:rsidRPr="00424846">
        <w:rPr>
          <w:rFonts w:ascii="Arial" w:hAnsi="Arial" w:cs="Arial"/>
          <w:sz w:val="24"/>
          <w:szCs w:val="24"/>
        </w:rPr>
        <w:t>A</w:t>
      </w:r>
      <w:r w:rsidR="008B74B5" w:rsidRPr="00424846">
        <w:rPr>
          <w:rFonts w:ascii="Arial" w:hAnsi="Arial" w:cs="Arial"/>
          <w:sz w:val="24"/>
          <w:szCs w:val="24"/>
        </w:rPr>
        <w:t>ct</w:t>
      </w:r>
      <w:r w:rsidR="00740A41" w:rsidRPr="00424846">
        <w:rPr>
          <w:rFonts w:ascii="Arial" w:hAnsi="Arial" w:cs="Arial"/>
          <w:sz w:val="24"/>
          <w:szCs w:val="24"/>
        </w:rPr>
        <w:t xml:space="preserve"> (CJA)</w:t>
      </w:r>
      <w:r w:rsidR="008B74B5" w:rsidRPr="00424846">
        <w:rPr>
          <w:rStyle w:val="FootnoteReference"/>
          <w:rFonts w:ascii="Arial" w:hAnsi="Arial" w:cs="Arial"/>
          <w:sz w:val="24"/>
          <w:szCs w:val="24"/>
        </w:rPr>
        <w:footnoteReference w:id="51"/>
      </w:r>
      <w:r w:rsidRPr="00424846">
        <w:rPr>
          <w:rFonts w:ascii="Arial" w:hAnsi="Arial" w:cs="Arial"/>
          <w:sz w:val="24"/>
          <w:szCs w:val="24"/>
        </w:rPr>
        <w:t>, which prohibits</w:t>
      </w:r>
      <w:r w:rsidR="008B74B5" w:rsidRPr="00424846">
        <w:rPr>
          <w:rFonts w:ascii="Arial" w:hAnsi="Arial" w:cs="Arial"/>
          <w:sz w:val="24"/>
          <w:szCs w:val="24"/>
        </w:rPr>
        <w:t xml:space="preserve"> the </w:t>
      </w:r>
      <w:r w:rsidR="00C05C82" w:rsidRPr="00424846">
        <w:rPr>
          <w:rFonts w:ascii="Arial" w:hAnsi="Arial" w:cs="Arial"/>
          <w:sz w:val="24"/>
          <w:szCs w:val="24"/>
        </w:rPr>
        <w:t>act</w:t>
      </w:r>
      <w:r w:rsidR="008B74B5" w:rsidRPr="00424846">
        <w:rPr>
          <w:rFonts w:ascii="Arial" w:hAnsi="Arial" w:cs="Arial"/>
          <w:sz w:val="24"/>
          <w:szCs w:val="24"/>
        </w:rPr>
        <w:t xml:space="preserve"> of torture</w:t>
      </w:r>
      <w:r w:rsidR="0022040F" w:rsidRPr="00424846">
        <w:rPr>
          <w:rFonts w:ascii="Arial" w:hAnsi="Arial" w:cs="Arial"/>
          <w:sz w:val="24"/>
          <w:szCs w:val="24"/>
        </w:rPr>
        <w:t xml:space="preserve"> by</w:t>
      </w:r>
      <w:r w:rsidR="008B74B5" w:rsidRPr="00424846">
        <w:rPr>
          <w:rFonts w:ascii="Arial" w:hAnsi="Arial" w:cs="Arial"/>
          <w:sz w:val="24"/>
          <w:szCs w:val="24"/>
        </w:rPr>
        <w:t xml:space="preserve"> state officials</w:t>
      </w:r>
      <w:r w:rsidRPr="00424846">
        <w:rPr>
          <w:rFonts w:ascii="Arial" w:hAnsi="Arial" w:cs="Arial"/>
          <w:sz w:val="24"/>
          <w:szCs w:val="24"/>
        </w:rPr>
        <w:t xml:space="preserve"> when executing their duties, and </w:t>
      </w:r>
      <w:r w:rsidR="0022040F" w:rsidRPr="00424846">
        <w:rPr>
          <w:rFonts w:ascii="Arial" w:hAnsi="Arial" w:cs="Arial"/>
          <w:sz w:val="24"/>
          <w:szCs w:val="24"/>
        </w:rPr>
        <w:t>u</w:t>
      </w:r>
      <w:r w:rsidRPr="00424846">
        <w:rPr>
          <w:rFonts w:ascii="Arial" w:hAnsi="Arial" w:cs="Arial"/>
          <w:sz w:val="24"/>
          <w:szCs w:val="24"/>
        </w:rPr>
        <w:t xml:space="preserve">nder the </w:t>
      </w:r>
      <w:r w:rsidR="008B74B5" w:rsidRPr="00424846">
        <w:rPr>
          <w:rFonts w:ascii="Arial" w:hAnsi="Arial" w:cs="Arial"/>
          <w:sz w:val="24"/>
          <w:szCs w:val="24"/>
        </w:rPr>
        <w:t xml:space="preserve">Police and Criminal </w:t>
      </w:r>
      <w:r w:rsidRPr="00424846">
        <w:rPr>
          <w:rFonts w:ascii="Arial" w:hAnsi="Arial" w:cs="Arial"/>
          <w:sz w:val="24"/>
          <w:szCs w:val="24"/>
        </w:rPr>
        <w:t>E</w:t>
      </w:r>
      <w:r w:rsidR="008B74B5" w:rsidRPr="00424846">
        <w:rPr>
          <w:rFonts w:ascii="Arial" w:hAnsi="Arial" w:cs="Arial"/>
          <w:sz w:val="24"/>
          <w:szCs w:val="24"/>
        </w:rPr>
        <w:t xml:space="preserve">vidence </w:t>
      </w:r>
      <w:r w:rsidRPr="00424846">
        <w:rPr>
          <w:rFonts w:ascii="Arial" w:hAnsi="Arial" w:cs="Arial"/>
          <w:sz w:val="24"/>
          <w:szCs w:val="24"/>
        </w:rPr>
        <w:t>A</w:t>
      </w:r>
      <w:r w:rsidR="008B74B5" w:rsidRPr="00424846">
        <w:rPr>
          <w:rFonts w:ascii="Arial" w:hAnsi="Arial" w:cs="Arial"/>
          <w:sz w:val="24"/>
          <w:szCs w:val="24"/>
        </w:rPr>
        <w:t xml:space="preserve">ct </w:t>
      </w:r>
      <w:r w:rsidR="00740A41" w:rsidRPr="00424846">
        <w:rPr>
          <w:rFonts w:ascii="Arial" w:hAnsi="Arial" w:cs="Arial"/>
          <w:sz w:val="24"/>
          <w:szCs w:val="24"/>
        </w:rPr>
        <w:t xml:space="preserve">(PACE) </w:t>
      </w:r>
      <w:r w:rsidR="008B74B5" w:rsidRPr="00424846">
        <w:rPr>
          <w:rFonts w:ascii="Arial" w:hAnsi="Arial" w:cs="Arial"/>
          <w:sz w:val="24"/>
          <w:szCs w:val="24"/>
        </w:rPr>
        <w:t>s</w:t>
      </w:r>
      <w:r w:rsidRPr="00424846">
        <w:rPr>
          <w:rFonts w:ascii="Arial" w:hAnsi="Arial" w:cs="Arial"/>
          <w:sz w:val="24"/>
          <w:szCs w:val="24"/>
        </w:rPr>
        <w:t xml:space="preserve">ection </w:t>
      </w:r>
      <w:r w:rsidR="008B74B5" w:rsidRPr="00424846">
        <w:rPr>
          <w:rFonts w:ascii="Arial" w:hAnsi="Arial" w:cs="Arial"/>
          <w:sz w:val="24"/>
          <w:szCs w:val="24"/>
        </w:rPr>
        <w:t>76(2)a</w:t>
      </w:r>
      <w:r w:rsidR="008B74B5" w:rsidRPr="00424846">
        <w:rPr>
          <w:rStyle w:val="FootnoteReference"/>
          <w:rFonts w:ascii="Arial" w:hAnsi="Arial" w:cs="Arial"/>
          <w:sz w:val="24"/>
          <w:szCs w:val="24"/>
        </w:rPr>
        <w:footnoteReference w:id="52"/>
      </w:r>
      <w:r w:rsidR="00C05C82" w:rsidRPr="00424846">
        <w:rPr>
          <w:rFonts w:ascii="Arial" w:hAnsi="Arial" w:cs="Arial"/>
          <w:sz w:val="24"/>
          <w:szCs w:val="24"/>
        </w:rPr>
        <w:t xml:space="preserve">, which illegalises confessions obtained under torture or oppression and ensures that any evidence </w:t>
      </w:r>
      <w:r w:rsidR="0022040F" w:rsidRPr="00424846">
        <w:rPr>
          <w:rFonts w:ascii="Arial" w:hAnsi="Arial" w:cs="Arial"/>
          <w:sz w:val="24"/>
          <w:szCs w:val="24"/>
        </w:rPr>
        <w:t>which could, beyond a reasonable doubt, have been obtained by torture</w:t>
      </w:r>
      <w:r w:rsidR="000F5618" w:rsidRPr="00424846">
        <w:rPr>
          <w:rFonts w:ascii="Arial" w:hAnsi="Arial" w:cs="Arial"/>
          <w:sz w:val="24"/>
          <w:szCs w:val="24"/>
        </w:rPr>
        <w:t>, is strictly inadmissible</w:t>
      </w:r>
      <w:r w:rsidR="00427466" w:rsidRPr="00424846">
        <w:rPr>
          <w:rFonts w:ascii="Arial" w:hAnsi="Arial" w:cs="Arial"/>
          <w:sz w:val="24"/>
          <w:szCs w:val="24"/>
        </w:rPr>
        <w:t xml:space="preserve"> in court</w:t>
      </w:r>
      <w:r w:rsidR="0022040F" w:rsidRPr="00424846">
        <w:rPr>
          <w:rFonts w:ascii="Arial" w:hAnsi="Arial" w:cs="Arial"/>
          <w:sz w:val="24"/>
          <w:szCs w:val="24"/>
        </w:rPr>
        <w:t>.</w:t>
      </w:r>
      <w:r w:rsidR="007D2FA0" w:rsidRPr="00424846">
        <w:rPr>
          <w:rFonts w:ascii="Arial" w:hAnsi="Arial" w:cs="Arial"/>
          <w:sz w:val="24"/>
          <w:szCs w:val="24"/>
        </w:rPr>
        <w:t xml:space="preserve"> This</w:t>
      </w:r>
      <w:r w:rsidR="0022040F" w:rsidRPr="00424846">
        <w:rPr>
          <w:rFonts w:ascii="Arial" w:hAnsi="Arial" w:cs="Arial"/>
          <w:sz w:val="24"/>
          <w:szCs w:val="24"/>
        </w:rPr>
        <w:t xml:space="preserve"> </w:t>
      </w:r>
      <w:r w:rsidR="007D2FA0" w:rsidRPr="00424846">
        <w:rPr>
          <w:rFonts w:ascii="Arial" w:hAnsi="Arial" w:cs="Arial"/>
          <w:sz w:val="24"/>
          <w:szCs w:val="24"/>
        </w:rPr>
        <w:t>s</w:t>
      </w:r>
      <w:r w:rsidR="000F5618" w:rsidRPr="00424846">
        <w:rPr>
          <w:rFonts w:ascii="Arial" w:hAnsi="Arial" w:cs="Arial"/>
          <w:sz w:val="24"/>
          <w:szCs w:val="24"/>
        </w:rPr>
        <w:t>et</w:t>
      </w:r>
      <w:r w:rsidR="007D2FA0" w:rsidRPr="00424846">
        <w:rPr>
          <w:rFonts w:ascii="Arial" w:hAnsi="Arial" w:cs="Arial"/>
          <w:sz w:val="24"/>
          <w:szCs w:val="24"/>
        </w:rPr>
        <w:t>s</w:t>
      </w:r>
      <w:r w:rsidR="000F5618" w:rsidRPr="00424846">
        <w:rPr>
          <w:rFonts w:ascii="Arial" w:hAnsi="Arial" w:cs="Arial"/>
          <w:sz w:val="24"/>
          <w:szCs w:val="24"/>
        </w:rPr>
        <w:t xml:space="preserve"> a clear standard that</w:t>
      </w:r>
      <w:r w:rsidR="0022040F" w:rsidRPr="00424846">
        <w:rPr>
          <w:rFonts w:ascii="Arial" w:hAnsi="Arial" w:cs="Arial"/>
          <w:sz w:val="24"/>
          <w:szCs w:val="24"/>
        </w:rPr>
        <w:t xml:space="preserve">, firstly, </w:t>
      </w:r>
      <w:r w:rsidR="000F5618" w:rsidRPr="00424846">
        <w:rPr>
          <w:rFonts w:ascii="Arial" w:hAnsi="Arial" w:cs="Arial"/>
          <w:sz w:val="24"/>
          <w:szCs w:val="24"/>
        </w:rPr>
        <w:t>the</w:t>
      </w:r>
      <w:r w:rsidR="00FC7BCD" w:rsidRPr="00424846">
        <w:rPr>
          <w:rFonts w:ascii="Arial" w:hAnsi="Arial" w:cs="Arial"/>
          <w:sz w:val="24"/>
          <w:szCs w:val="24"/>
        </w:rPr>
        <w:t>re is a</w:t>
      </w:r>
      <w:r w:rsidR="007D2FA0" w:rsidRPr="00424846">
        <w:rPr>
          <w:rFonts w:ascii="Arial" w:hAnsi="Arial" w:cs="Arial"/>
          <w:sz w:val="24"/>
          <w:szCs w:val="24"/>
        </w:rPr>
        <w:t xml:space="preserve">n </w:t>
      </w:r>
      <w:r w:rsidR="00FC7BCD" w:rsidRPr="00424846">
        <w:rPr>
          <w:rFonts w:ascii="Arial" w:hAnsi="Arial" w:cs="Arial"/>
          <w:sz w:val="24"/>
          <w:szCs w:val="24"/>
        </w:rPr>
        <w:t>obligation on the state to prohibit any</w:t>
      </w:r>
      <w:r w:rsidR="000F5618" w:rsidRPr="00424846">
        <w:rPr>
          <w:rFonts w:ascii="Arial" w:hAnsi="Arial" w:cs="Arial"/>
          <w:sz w:val="24"/>
          <w:szCs w:val="24"/>
        </w:rPr>
        <w:t xml:space="preserve"> act of torture by state officials, and </w:t>
      </w:r>
      <w:r w:rsidR="0022040F" w:rsidRPr="00424846">
        <w:rPr>
          <w:rFonts w:ascii="Arial" w:hAnsi="Arial" w:cs="Arial"/>
          <w:sz w:val="24"/>
          <w:szCs w:val="24"/>
        </w:rPr>
        <w:t xml:space="preserve">secondly, </w:t>
      </w:r>
      <w:r w:rsidR="000F5618" w:rsidRPr="00424846">
        <w:rPr>
          <w:rFonts w:ascii="Arial" w:hAnsi="Arial" w:cs="Arial"/>
          <w:sz w:val="24"/>
          <w:szCs w:val="24"/>
        </w:rPr>
        <w:t>no</w:t>
      </w:r>
      <w:r w:rsidR="0022040F" w:rsidRPr="00424846">
        <w:rPr>
          <w:rFonts w:ascii="Arial" w:hAnsi="Arial" w:cs="Arial"/>
          <w:sz w:val="24"/>
          <w:szCs w:val="24"/>
        </w:rPr>
        <w:t xml:space="preserve"> </w:t>
      </w:r>
      <w:r w:rsidR="000F5618" w:rsidRPr="00424846">
        <w:rPr>
          <w:rFonts w:ascii="Arial" w:hAnsi="Arial" w:cs="Arial"/>
          <w:sz w:val="24"/>
          <w:szCs w:val="24"/>
        </w:rPr>
        <w:t>evidence obtained</w:t>
      </w:r>
      <w:r w:rsidR="00FC7BCD" w:rsidRPr="00424846">
        <w:rPr>
          <w:rFonts w:ascii="Arial" w:hAnsi="Arial" w:cs="Arial"/>
          <w:sz w:val="24"/>
          <w:szCs w:val="24"/>
        </w:rPr>
        <w:t xml:space="preserve">, </w:t>
      </w:r>
      <w:r w:rsidR="000F5618" w:rsidRPr="00424846">
        <w:rPr>
          <w:rFonts w:ascii="Arial" w:hAnsi="Arial" w:cs="Arial"/>
          <w:sz w:val="24"/>
          <w:szCs w:val="24"/>
        </w:rPr>
        <w:t>or could have been obtained by torture</w:t>
      </w:r>
      <w:r w:rsidR="00FC7BCD" w:rsidRPr="00424846">
        <w:rPr>
          <w:rFonts w:ascii="Arial" w:hAnsi="Arial" w:cs="Arial"/>
          <w:sz w:val="24"/>
          <w:szCs w:val="24"/>
        </w:rPr>
        <w:t xml:space="preserve">, will </w:t>
      </w:r>
      <w:r w:rsidR="000F5618" w:rsidRPr="00424846">
        <w:rPr>
          <w:rFonts w:ascii="Arial" w:hAnsi="Arial" w:cs="Arial"/>
          <w:sz w:val="24"/>
          <w:szCs w:val="24"/>
        </w:rPr>
        <w:t>be accepted by the courts</w:t>
      </w:r>
      <w:r w:rsidR="00FC7BCD" w:rsidRPr="00424846">
        <w:rPr>
          <w:rFonts w:ascii="Arial" w:hAnsi="Arial" w:cs="Arial"/>
          <w:sz w:val="24"/>
          <w:szCs w:val="24"/>
        </w:rPr>
        <w:t xml:space="preserve"> under any circumstances</w:t>
      </w:r>
      <w:r w:rsidR="00C561DC" w:rsidRPr="00424846">
        <w:rPr>
          <w:rStyle w:val="FootnoteReference"/>
          <w:rFonts w:ascii="Arial" w:hAnsi="Arial" w:cs="Arial"/>
          <w:sz w:val="24"/>
          <w:szCs w:val="24"/>
        </w:rPr>
        <w:footnoteReference w:id="53"/>
      </w:r>
      <w:r w:rsidR="00FC7BCD" w:rsidRPr="00424846">
        <w:rPr>
          <w:rFonts w:ascii="Arial" w:hAnsi="Arial" w:cs="Arial"/>
          <w:sz w:val="24"/>
          <w:szCs w:val="24"/>
        </w:rPr>
        <w:t xml:space="preserve">. </w:t>
      </w:r>
    </w:p>
    <w:p w14:paraId="57F16DD6" w14:textId="08B41EC2" w:rsidR="00540BF6" w:rsidRPr="00424846" w:rsidRDefault="00FC7BCD" w:rsidP="00862139">
      <w:pPr>
        <w:spacing w:line="480" w:lineRule="auto"/>
        <w:jc w:val="both"/>
        <w:rPr>
          <w:rFonts w:ascii="Arial" w:hAnsi="Arial" w:cs="Arial"/>
          <w:sz w:val="24"/>
          <w:szCs w:val="24"/>
        </w:rPr>
      </w:pPr>
      <w:r w:rsidRPr="00424846">
        <w:rPr>
          <w:rFonts w:ascii="Arial" w:hAnsi="Arial" w:cs="Arial"/>
          <w:sz w:val="24"/>
          <w:szCs w:val="24"/>
        </w:rPr>
        <w:t>Additionally</w:t>
      </w:r>
      <w:r w:rsidR="00D14748" w:rsidRPr="00424846">
        <w:rPr>
          <w:rFonts w:ascii="Arial" w:hAnsi="Arial" w:cs="Arial"/>
          <w:sz w:val="24"/>
          <w:szCs w:val="24"/>
        </w:rPr>
        <w:t xml:space="preserve">, </w:t>
      </w:r>
      <w:r w:rsidR="00E244C5" w:rsidRPr="00424846">
        <w:rPr>
          <w:rFonts w:ascii="Arial" w:hAnsi="Arial" w:cs="Arial"/>
          <w:sz w:val="24"/>
          <w:szCs w:val="24"/>
        </w:rPr>
        <w:t xml:space="preserve">the United Kingdom </w:t>
      </w:r>
      <w:r w:rsidRPr="00424846">
        <w:rPr>
          <w:rFonts w:ascii="Arial" w:hAnsi="Arial" w:cs="Arial"/>
          <w:sz w:val="24"/>
          <w:szCs w:val="24"/>
        </w:rPr>
        <w:t xml:space="preserve">has an obligation to not </w:t>
      </w:r>
      <w:r w:rsidR="00E244C5" w:rsidRPr="00424846">
        <w:rPr>
          <w:rFonts w:ascii="Arial" w:hAnsi="Arial" w:cs="Arial"/>
          <w:sz w:val="24"/>
          <w:szCs w:val="24"/>
        </w:rPr>
        <w:t>deport foreign nationals to their homeland</w:t>
      </w:r>
      <w:r w:rsidRPr="00424846">
        <w:rPr>
          <w:rFonts w:ascii="Arial" w:hAnsi="Arial" w:cs="Arial"/>
          <w:sz w:val="24"/>
          <w:szCs w:val="24"/>
        </w:rPr>
        <w:t xml:space="preserve"> </w:t>
      </w:r>
      <w:r w:rsidR="00E244C5" w:rsidRPr="00424846">
        <w:rPr>
          <w:rFonts w:ascii="Arial" w:hAnsi="Arial" w:cs="Arial"/>
          <w:sz w:val="24"/>
          <w:szCs w:val="24"/>
        </w:rPr>
        <w:t>if</w:t>
      </w:r>
      <w:r w:rsidRPr="00424846">
        <w:rPr>
          <w:rFonts w:ascii="Arial" w:hAnsi="Arial" w:cs="Arial"/>
          <w:sz w:val="24"/>
          <w:szCs w:val="24"/>
        </w:rPr>
        <w:t xml:space="preserve">, </w:t>
      </w:r>
      <w:r w:rsidR="00E244C5" w:rsidRPr="00424846">
        <w:rPr>
          <w:rFonts w:ascii="Arial" w:hAnsi="Arial" w:cs="Arial"/>
          <w:sz w:val="24"/>
          <w:szCs w:val="24"/>
        </w:rPr>
        <w:t xml:space="preserve">there is a </w:t>
      </w:r>
      <w:r w:rsidR="00E97968" w:rsidRPr="00424846">
        <w:rPr>
          <w:rFonts w:ascii="Arial" w:hAnsi="Arial" w:cs="Arial"/>
          <w:sz w:val="24"/>
          <w:szCs w:val="24"/>
        </w:rPr>
        <w:t xml:space="preserve">high </w:t>
      </w:r>
      <w:r w:rsidR="00E244C5" w:rsidRPr="00424846">
        <w:rPr>
          <w:rFonts w:ascii="Arial" w:hAnsi="Arial" w:cs="Arial"/>
          <w:sz w:val="24"/>
          <w:szCs w:val="24"/>
        </w:rPr>
        <w:t>risk that they may experience torture, inhumane or degrading treatment</w:t>
      </w:r>
      <w:r w:rsidRPr="00424846">
        <w:rPr>
          <w:rFonts w:ascii="Arial" w:hAnsi="Arial" w:cs="Arial"/>
          <w:sz w:val="24"/>
          <w:szCs w:val="24"/>
        </w:rPr>
        <w:t xml:space="preserve"> by their state</w:t>
      </w:r>
      <w:r w:rsidR="0003596A" w:rsidRPr="00424846">
        <w:rPr>
          <w:rFonts w:ascii="Arial" w:hAnsi="Arial" w:cs="Arial"/>
          <w:sz w:val="24"/>
          <w:szCs w:val="24"/>
        </w:rPr>
        <w:t>, t</w:t>
      </w:r>
      <w:r w:rsidRPr="00424846">
        <w:rPr>
          <w:rFonts w:ascii="Arial" w:hAnsi="Arial" w:cs="Arial"/>
          <w:sz w:val="24"/>
          <w:szCs w:val="24"/>
        </w:rPr>
        <w:t>his obligation was</w:t>
      </w:r>
      <w:r w:rsidR="00E244C5" w:rsidRPr="00424846">
        <w:rPr>
          <w:rFonts w:ascii="Arial" w:hAnsi="Arial" w:cs="Arial"/>
          <w:sz w:val="24"/>
          <w:szCs w:val="24"/>
        </w:rPr>
        <w:t xml:space="preserve"> </w:t>
      </w:r>
      <w:r w:rsidR="0013179F" w:rsidRPr="00424846">
        <w:rPr>
          <w:rFonts w:ascii="Arial" w:hAnsi="Arial" w:cs="Arial"/>
          <w:sz w:val="24"/>
          <w:szCs w:val="24"/>
        </w:rPr>
        <w:t>acknowledged</w:t>
      </w:r>
      <w:r w:rsidRPr="00424846">
        <w:rPr>
          <w:rFonts w:ascii="Arial" w:hAnsi="Arial" w:cs="Arial"/>
          <w:sz w:val="24"/>
          <w:szCs w:val="24"/>
        </w:rPr>
        <w:t xml:space="preserve"> in </w:t>
      </w:r>
      <w:r w:rsidR="00E244C5" w:rsidRPr="00424846">
        <w:rPr>
          <w:rFonts w:ascii="Arial" w:hAnsi="Arial" w:cs="Arial"/>
          <w:sz w:val="24"/>
          <w:szCs w:val="24"/>
        </w:rPr>
        <w:t>the Human Rights Act 1998</w:t>
      </w:r>
      <w:r w:rsidR="004A6045" w:rsidRPr="00424846">
        <w:rPr>
          <w:rFonts w:ascii="Arial" w:hAnsi="Arial" w:cs="Arial"/>
          <w:sz w:val="24"/>
          <w:szCs w:val="24"/>
        </w:rPr>
        <w:t xml:space="preserve"> (HRA)</w:t>
      </w:r>
      <w:r w:rsidR="00E244C5" w:rsidRPr="00424846">
        <w:rPr>
          <w:rFonts w:ascii="Arial" w:hAnsi="Arial" w:cs="Arial"/>
          <w:sz w:val="24"/>
          <w:szCs w:val="24"/>
        </w:rPr>
        <w:t xml:space="preserve"> section 3</w:t>
      </w:r>
      <w:r w:rsidR="00FD45B1" w:rsidRPr="00424846">
        <w:rPr>
          <w:rStyle w:val="FootnoteReference"/>
          <w:rFonts w:ascii="Arial" w:hAnsi="Arial" w:cs="Arial"/>
          <w:sz w:val="24"/>
          <w:szCs w:val="24"/>
        </w:rPr>
        <w:footnoteReference w:id="54"/>
      </w:r>
      <w:r w:rsidR="00E244C5" w:rsidRPr="00424846">
        <w:rPr>
          <w:rFonts w:ascii="Arial" w:hAnsi="Arial" w:cs="Arial"/>
          <w:sz w:val="24"/>
          <w:szCs w:val="24"/>
        </w:rPr>
        <w:t>, which has been steadily relied upon to protect foreign nationals against deportation</w:t>
      </w:r>
      <w:r w:rsidR="0003596A" w:rsidRPr="00424846">
        <w:rPr>
          <w:rFonts w:ascii="Arial" w:hAnsi="Arial" w:cs="Arial"/>
          <w:sz w:val="24"/>
          <w:szCs w:val="24"/>
        </w:rPr>
        <w:t xml:space="preserve">, </w:t>
      </w:r>
      <w:r w:rsidR="00E97968" w:rsidRPr="00424846">
        <w:rPr>
          <w:rFonts w:ascii="Arial" w:hAnsi="Arial" w:cs="Arial"/>
          <w:sz w:val="24"/>
          <w:szCs w:val="24"/>
        </w:rPr>
        <w:t xml:space="preserve">when </w:t>
      </w:r>
      <w:r w:rsidR="00E244C5" w:rsidRPr="00424846">
        <w:rPr>
          <w:rFonts w:ascii="Arial" w:hAnsi="Arial" w:cs="Arial"/>
          <w:sz w:val="24"/>
          <w:szCs w:val="24"/>
        </w:rPr>
        <w:t xml:space="preserve">there is a risk of state torture. This is especially relevant because it </w:t>
      </w:r>
      <w:r w:rsidR="00E97968" w:rsidRPr="00424846">
        <w:rPr>
          <w:rFonts w:ascii="Arial" w:hAnsi="Arial" w:cs="Arial"/>
          <w:sz w:val="24"/>
          <w:szCs w:val="24"/>
        </w:rPr>
        <w:t xml:space="preserve">entrenches the </w:t>
      </w:r>
      <w:r w:rsidR="00E244C5" w:rsidRPr="00424846">
        <w:rPr>
          <w:rFonts w:ascii="Arial" w:hAnsi="Arial" w:cs="Arial"/>
          <w:sz w:val="24"/>
          <w:szCs w:val="24"/>
        </w:rPr>
        <w:t>positive obligation state</w:t>
      </w:r>
      <w:r w:rsidR="00E97968" w:rsidRPr="00424846">
        <w:rPr>
          <w:rFonts w:ascii="Arial" w:hAnsi="Arial" w:cs="Arial"/>
          <w:sz w:val="24"/>
          <w:szCs w:val="24"/>
        </w:rPr>
        <w:t>s</w:t>
      </w:r>
      <w:r w:rsidR="00E244C5" w:rsidRPr="00424846">
        <w:rPr>
          <w:rFonts w:ascii="Arial" w:hAnsi="Arial" w:cs="Arial"/>
          <w:sz w:val="24"/>
          <w:szCs w:val="24"/>
        </w:rPr>
        <w:t xml:space="preserve"> </w:t>
      </w:r>
      <w:r w:rsidR="00E97968" w:rsidRPr="00424846">
        <w:rPr>
          <w:rFonts w:ascii="Arial" w:hAnsi="Arial" w:cs="Arial"/>
          <w:sz w:val="24"/>
          <w:szCs w:val="24"/>
        </w:rPr>
        <w:t xml:space="preserve">have, </w:t>
      </w:r>
      <w:r w:rsidR="00E244C5" w:rsidRPr="00424846">
        <w:rPr>
          <w:rFonts w:ascii="Arial" w:hAnsi="Arial" w:cs="Arial"/>
          <w:sz w:val="24"/>
          <w:szCs w:val="24"/>
        </w:rPr>
        <w:t xml:space="preserve">to </w:t>
      </w:r>
      <w:r w:rsidR="0048417F" w:rsidRPr="00424846">
        <w:rPr>
          <w:rFonts w:ascii="Arial" w:hAnsi="Arial" w:cs="Arial"/>
          <w:sz w:val="24"/>
          <w:szCs w:val="24"/>
        </w:rPr>
        <w:t xml:space="preserve">actively prevent the use of </w:t>
      </w:r>
      <w:r w:rsidR="00917545" w:rsidRPr="00424846">
        <w:rPr>
          <w:rFonts w:ascii="Arial" w:hAnsi="Arial" w:cs="Arial"/>
          <w:sz w:val="24"/>
          <w:szCs w:val="24"/>
        </w:rPr>
        <w:t xml:space="preserve">torture </w:t>
      </w:r>
      <w:r w:rsidR="0048417F" w:rsidRPr="00424846">
        <w:rPr>
          <w:rFonts w:ascii="Arial" w:hAnsi="Arial" w:cs="Arial"/>
          <w:sz w:val="24"/>
          <w:szCs w:val="24"/>
        </w:rPr>
        <w:t>in other countries</w:t>
      </w:r>
      <w:r w:rsidR="00917545" w:rsidRPr="00424846">
        <w:rPr>
          <w:rFonts w:ascii="Arial" w:hAnsi="Arial" w:cs="Arial"/>
          <w:sz w:val="24"/>
          <w:szCs w:val="24"/>
        </w:rPr>
        <w:t xml:space="preserve">, </w:t>
      </w:r>
      <w:r w:rsidR="0048417F" w:rsidRPr="00424846">
        <w:rPr>
          <w:rFonts w:ascii="Arial" w:hAnsi="Arial" w:cs="Arial"/>
          <w:sz w:val="24"/>
          <w:szCs w:val="24"/>
        </w:rPr>
        <w:t>by not deporting them back into the hands of the</w:t>
      </w:r>
      <w:r w:rsidR="00917545" w:rsidRPr="00424846">
        <w:rPr>
          <w:rFonts w:ascii="Arial" w:hAnsi="Arial" w:cs="Arial"/>
          <w:sz w:val="24"/>
          <w:szCs w:val="24"/>
        </w:rPr>
        <w:t>ir</w:t>
      </w:r>
      <w:r w:rsidR="0048417F" w:rsidRPr="00424846">
        <w:rPr>
          <w:rFonts w:ascii="Arial" w:hAnsi="Arial" w:cs="Arial"/>
          <w:sz w:val="24"/>
          <w:szCs w:val="24"/>
        </w:rPr>
        <w:t xml:space="preserve"> torturer</w:t>
      </w:r>
      <w:r w:rsidR="00E97968" w:rsidRPr="00424846">
        <w:rPr>
          <w:rStyle w:val="FootnoteReference"/>
          <w:rFonts w:ascii="Arial" w:hAnsi="Arial" w:cs="Arial"/>
          <w:sz w:val="24"/>
          <w:szCs w:val="24"/>
        </w:rPr>
        <w:footnoteReference w:id="55"/>
      </w:r>
      <w:r w:rsidR="0048417F" w:rsidRPr="00424846">
        <w:rPr>
          <w:rFonts w:ascii="Arial" w:hAnsi="Arial" w:cs="Arial"/>
          <w:sz w:val="24"/>
          <w:szCs w:val="24"/>
        </w:rPr>
        <w:t>.</w:t>
      </w:r>
      <w:r w:rsidR="00805A73" w:rsidRPr="00424846">
        <w:rPr>
          <w:rFonts w:ascii="Arial" w:hAnsi="Arial" w:cs="Arial"/>
          <w:sz w:val="24"/>
          <w:szCs w:val="24"/>
        </w:rPr>
        <w:t xml:space="preserve"> </w:t>
      </w:r>
      <w:r w:rsidR="004A6045" w:rsidRPr="00424846">
        <w:rPr>
          <w:rFonts w:ascii="Arial" w:hAnsi="Arial" w:cs="Arial"/>
          <w:sz w:val="24"/>
          <w:szCs w:val="24"/>
        </w:rPr>
        <w:t>An application of this</w:t>
      </w:r>
      <w:r w:rsidR="0056268B" w:rsidRPr="00424846">
        <w:rPr>
          <w:rFonts w:ascii="Arial" w:hAnsi="Arial" w:cs="Arial"/>
          <w:sz w:val="24"/>
          <w:szCs w:val="24"/>
        </w:rPr>
        <w:t xml:space="preserve"> </w:t>
      </w:r>
      <w:r w:rsidR="004A6045" w:rsidRPr="00424846">
        <w:rPr>
          <w:rFonts w:ascii="Arial" w:hAnsi="Arial" w:cs="Arial"/>
          <w:sz w:val="24"/>
          <w:szCs w:val="24"/>
        </w:rPr>
        <w:t xml:space="preserve">can be seen in the infamous case </w:t>
      </w:r>
      <w:r w:rsidR="004A6045" w:rsidRPr="00424846">
        <w:rPr>
          <w:rFonts w:ascii="Arial" w:hAnsi="Arial" w:cs="Arial"/>
          <w:sz w:val="24"/>
          <w:szCs w:val="24"/>
        </w:rPr>
        <w:lastRenderedPageBreak/>
        <w:t>of Abu Qatada v Secretary of State for Home Department</w:t>
      </w:r>
      <w:r w:rsidR="004A6045" w:rsidRPr="00424846">
        <w:rPr>
          <w:rStyle w:val="FootnoteReference"/>
          <w:rFonts w:ascii="Arial" w:hAnsi="Arial" w:cs="Arial"/>
          <w:sz w:val="24"/>
          <w:szCs w:val="24"/>
        </w:rPr>
        <w:footnoteReference w:id="56"/>
      </w:r>
      <w:r w:rsidR="004A6045" w:rsidRPr="00424846">
        <w:rPr>
          <w:rFonts w:ascii="Arial" w:hAnsi="Arial" w:cs="Arial"/>
          <w:sz w:val="24"/>
          <w:szCs w:val="24"/>
        </w:rPr>
        <w:t>, where a radical preacher, who, according to the HRA could not be deported due to the ‘high risk’ that evidence obtained by torture</w:t>
      </w:r>
      <w:r w:rsidR="0056268B" w:rsidRPr="00424846">
        <w:rPr>
          <w:rFonts w:ascii="Arial" w:hAnsi="Arial" w:cs="Arial"/>
          <w:sz w:val="24"/>
          <w:szCs w:val="24"/>
        </w:rPr>
        <w:t xml:space="preserve">, </w:t>
      </w:r>
      <w:r w:rsidR="004A6045" w:rsidRPr="00424846">
        <w:rPr>
          <w:rFonts w:ascii="Arial" w:hAnsi="Arial" w:cs="Arial"/>
          <w:sz w:val="24"/>
          <w:szCs w:val="24"/>
        </w:rPr>
        <w:t>from two key eyewitnesses</w:t>
      </w:r>
      <w:r w:rsidR="0056268B" w:rsidRPr="00424846">
        <w:rPr>
          <w:rFonts w:ascii="Arial" w:hAnsi="Arial" w:cs="Arial"/>
          <w:sz w:val="24"/>
          <w:szCs w:val="24"/>
        </w:rPr>
        <w:t xml:space="preserve">, </w:t>
      </w:r>
      <w:r w:rsidR="004A6045" w:rsidRPr="00424846">
        <w:rPr>
          <w:rFonts w:ascii="Arial" w:hAnsi="Arial" w:cs="Arial"/>
          <w:sz w:val="24"/>
          <w:szCs w:val="24"/>
        </w:rPr>
        <w:t>would be used in his trial in Jordan to criminalise him. Resulting, in a dozen British senior judge’s ruling against the state’s deportation, forcing the UK to keep him in the country and release him at high bail conditions</w:t>
      </w:r>
      <w:r w:rsidR="004A6045" w:rsidRPr="00424846">
        <w:rPr>
          <w:rStyle w:val="FootnoteReference"/>
          <w:rFonts w:ascii="Arial" w:hAnsi="Arial" w:cs="Arial"/>
          <w:sz w:val="24"/>
          <w:szCs w:val="24"/>
        </w:rPr>
        <w:footnoteReference w:id="57"/>
      </w:r>
      <w:r w:rsidR="004A6045" w:rsidRPr="00424846">
        <w:rPr>
          <w:rFonts w:ascii="Arial" w:hAnsi="Arial" w:cs="Arial"/>
          <w:sz w:val="24"/>
          <w:szCs w:val="24"/>
        </w:rPr>
        <w:t>.</w:t>
      </w:r>
    </w:p>
    <w:p w14:paraId="685910ED" w14:textId="289A8A2C" w:rsidR="001C7F4F" w:rsidRPr="00424846" w:rsidRDefault="00540BF6" w:rsidP="00862139">
      <w:pPr>
        <w:spacing w:line="480" w:lineRule="auto"/>
        <w:jc w:val="both"/>
        <w:rPr>
          <w:rFonts w:ascii="Arial" w:hAnsi="Arial" w:cs="Arial"/>
          <w:sz w:val="24"/>
          <w:szCs w:val="24"/>
        </w:rPr>
      </w:pPr>
      <w:r w:rsidRPr="00424846">
        <w:rPr>
          <w:rFonts w:ascii="Arial" w:hAnsi="Arial" w:cs="Arial"/>
          <w:sz w:val="24"/>
          <w:szCs w:val="24"/>
        </w:rPr>
        <w:t>Subsequently, a</w:t>
      </w:r>
      <w:r w:rsidR="00805A73" w:rsidRPr="00424846">
        <w:rPr>
          <w:rFonts w:ascii="Arial" w:hAnsi="Arial" w:cs="Arial"/>
          <w:sz w:val="24"/>
          <w:szCs w:val="24"/>
        </w:rPr>
        <w:t>n attempt to deport them, contrary to s3</w:t>
      </w:r>
      <w:r w:rsidR="004A6045" w:rsidRPr="00424846">
        <w:rPr>
          <w:rFonts w:ascii="Arial" w:hAnsi="Arial" w:cs="Arial"/>
          <w:sz w:val="24"/>
          <w:szCs w:val="24"/>
        </w:rPr>
        <w:t xml:space="preserve"> HRA</w:t>
      </w:r>
      <w:r w:rsidR="00805A73" w:rsidRPr="00424846">
        <w:rPr>
          <w:rFonts w:ascii="Arial" w:hAnsi="Arial" w:cs="Arial"/>
          <w:sz w:val="24"/>
          <w:szCs w:val="24"/>
        </w:rPr>
        <w:t>, could be appealed to the higher courts and eventually the European Court of Human Rights</w:t>
      </w:r>
      <w:r w:rsidR="00E309CA" w:rsidRPr="00424846">
        <w:rPr>
          <w:rFonts w:ascii="Arial" w:hAnsi="Arial" w:cs="Arial"/>
          <w:sz w:val="24"/>
          <w:szCs w:val="24"/>
        </w:rPr>
        <w:t xml:space="preserve"> (ECtHR)</w:t>
      </w:r>
      <w:r w:rsidR="00805A73" w:rsidRPr="00424846">
        <w:rPr>
          <w:rFonts w:ascii="Arial" w:hAnsi="Arial" w:cs="Arial"/>
          <w:sz w:val="24"/>
          <w:szCs w:val="24"/>
        </w:rPr>
        <w:t>, as seen in</w:t>
      </w:r>
      <w:r w:rsidR="003031E7" w:rsidRPr="00424846">
        <w:rPr>
          <w:rFonts w:ascii="Arial" w:hAnsi="Arial" w:cs="Arial"/>
          <w:sz w:val="24"/>
          <w:szCs w:val="24"/>
        </w:rPr>
        <w:t xml:space="preserve"> t</w:t>
      </w:r>
      <w:r w:rsidR="00760826" w:rsidRPr="00424846">
        <w:rPr>
          <w:rFonts w:ascii="Arial" w:hAnsi="Arial" w:cs="Arial"/>
          <w:sz w:val="24"/>
          <w:szCs w:val="24"/>
        </w:rPr>
        <w:t xml:space="preserve">he case of </w:t>
      </w:r>
      <w:bookmarkStart w:id="28" w:name="_Hlk36153621"/>
      <w:r w:rsidR="00760826" w:rsidRPr="00424846">
        <w:rPr>
          <w:rFonts w:ascii="Arial" w:hAnsi="Arial" w:cs="Arial"/>
          <w:sz w:val="24"/>
          <w:szCs w:val="24"/>
        </w:rPr>
        <w:t>Chahal v United</w:t>
      </w:r>
      <w:r w:rsidR="008C0328" w:rsidRPr="00424846">
        <w:rPr>
          <w:rFonts w:ascii="Arial" w:hAnsi="Arial" w:cs="Arial"/>
          <w:sz w:val="24"/>
          <w:szCs w:val="24"/>
        </w:rPr>
        <w:t xml:space="preserve"> Kingdom</w:t>
      </w:r>
      <w:bookmarkEnd w:id="28"/>
      <w:r w:rsidR="008C0328" w:rsidRPr="00424846">
        <w:rPr>
          <w:rStyle w:val="FootnoteReference"/>
          <w:rFonts w:ascii="Arial" w:hAnsi="Arial" w:cs="Arial"/>
          <w:sz w:val="24"/>
          <w:szCs w:val="24"/>
        </w:rPr>
        <w:footnoteReference w:id="58"/>
      </w:r>
      <w:r w:rsidR="008C0328" w:rsidRPr="00424846">
        <w:rPr>
          <w:rFonts w:ascii="Arial" w:hAnsi="Arial" w:cs="Arial"/>
          <w:sz w:val="24"/>
          <w:szCs w:val="24"/>
        </w:rPr>
        <w:t>, where the UK tried to deport Chahal</w:t>
      </w:r>
      <w:r w:rsidR="006D7ABE" w:rsidRPr="00424846">
        <w:rPr>
          <w:rFonts w:ascii="Arial" w:hAnsi="Arial" w:cs="Arial"/>
          <w:sz w:val="24"/>
          <w:szCs w:val="24"/>
        </w:rPr>
        <w:t xml:space="preserve"> </w:t>
      </w:r>
      <w:r w:rsidR="00405B95" w:rsidRPr="00424846">
        <w:rPr>
          <w:rFonts w:ascii="Arial" w:hAnsi="Arial" w:cs="Arial"/>
          <w:sz w:val="24"/>
          <w:szCs w:val="24"/>
        </w:rPr>
        <w:t xml:space="preserve">to India </w:t>
      </w:r>
      <w:r w:rsidR="00173918" w:rsidRPr="00424846">
        <w:rPr>
          <w:rFonts w:ascii="Arial" w:hAnsi="Arial" w:cs="Arial"/>
          <w:sz w:val="24"/>
          <w:szCs w:val="24"/>
        </w:rPr>
        <w:t>for terrorist activity</w:t>
      </w:r>
      <w:r w:rsidR="00E168E2" w:rsidRPr="00424846">
        <w:rPr>
          <w:rFonts w:ascii="Arial" w:hAnsi="Arial" w:cs="Arial"/>
          <w:sz w:val="24"/>
          <w:szCs w:val="24"/>
        </w:rPr>
        <w:t>, however, the</w:t>
      </w:r>
      <w:r w:rsidR="00E309CA" w:rsidRPr="00424846">
        <w:rPr>
          <w:rFonts w:ascii="Arial" w:hAnsi="Arial" w:cs="Arial"/>
          <w:sz w:val="24"/>
          <w:szCs w:val="24"/>
        </w:rPr>
        <w:t xml:space="preserve"> </w:t>
      </w:r>
      <w:r w:rsidR="004A6045" w:rsidRPr="00424846">
        <w:rPr>
          <w:rFonts w:ascii="Arial" w:hAnsi="Arial" w:cs="Arial"/>
          <w:sz w:val="24"/>
          <w:szCs w:val="24"/>
        </w:rPr>
        <w:t>ECtHR</w:t>
      </w:r>
      <w:r w:rsidR="000B00D9" w:rsidRPr="00424846">
        <w:rPr>
          <w:rFonts w:ascii="Arial" w:hAnsi="Arial" w:cs="Arial"/>
          <w:sz w:val="24"/>
          <w:szCs w:val="24"/>
        </w:rPr>
        <w:t xml:space="preserve"> </w:t>
      </w:r>
      <w:r w:rsidR="00E309CA" w:rsidRPr="00424846">
        <w:rPr>
          <w:rFonts w:ascii="Arial" w:hAnsi="Arial" w:cs="Arial"/>
          <w:sz w:val="24"/>
          <w:szCs w:val="24"/>
        </w:rPr>
        <w:t>rejected this, as</w:t>
      </w:r>
      <w:r w:rsidR="000B00D9" w:rsidRPr="00424846">
        <w:rPr>
          <w:rFonts w:ascii="Arial" w:hAnsi="Arial" w:cs="Arial"/>
          <w:sz w:val="24"/>
          <w:szCs w:val="24"/>
        </w:rPr>
        <w:t xml:space="preserve"> it</w:t>
      </w:r>
      <w:r w:rsidR="00E309CA" w:rsidRPr="00424846">
        <w:rPr>
          <w:rFonts w:ascii="Arial" w:hAnsi="Arial" w:cs="Arial"/>
          <w:sz w:val="24"/>
          <w:szCs w:val="24"/>
        </w:rPr>
        <w:t xml:space="preserve"> violated </w:t>
      </w:r>
      <w:r w:rsidR="004A6045" w:rsidRPr="00424846">
        <w:rPr>
          <w:rFonts w:ascii="Arial" w:hAnsi="Arial" w:cs="Arial"/>
          <w:sz w:val="24"/>
          <w:szCs w:val="24"/>
        </w:rPr>
        <w:t>Article</w:t>
      </w:r>
      <w:r w:rsidR="0022791A" w:rsidRPr="00424846">
        <w:rPr>
          <w:rFonts w:ascii="Arial" w:hAnsi="Arial" w:cs="Arial"/>
          <w:sz w:val="24"/>
          <w:szCs w:val="24"/>
        </w:rPr>
        <w:t xml:space="preserve"> 3</w:t>
      </w:r>
      <w:r w:rsidR="00E309CA" w:rsidRPr="00424846">
        <w:rPr>
          <w:rFonts w:ascii="Arial" w:hAnsi="Arial" w:cs="Arial"/>
          <w:sz w:val="24"/>
          <w:szCs w:val="24"/>
        </w:rPr>
        <w:t xml:space="preserve"> of the convention</w:t>
      </w:r>
      <w:r w:rsidR="0032780F" w:rsidRPr="00424846">
        <w:rPr>
          <w:rStyle w:val="FootnoteReference"/>
          <w:rFonts w:ascii="Arial" w:hAnsi="Arial" w:cs="Arial"/>
          <w:sz w:val="24"/>
          <w:szCs w:val="24"/>
        </w:rPr>
        <w:footnoteReference w:id="59"/>
      </w:r>
      <w:r w:rsidR="00A5636D" w:rsidRPr="00424846">
        <w:rPr>
          <w:rFonts w:ascii="Arial" w:hAnsi="Arial" w:cs="Arial"/>
          <w:sz w:val="24"/>
          <w:szCs w:val="24"/>
        </w:rPr>
        <w:t xml:space="preserve"> and the </w:t>
      </w:r>
      <w:r w:rsidR="00E86D68" w:rsidRPr="00424846">
        <w:rPr>
          <w:rFonts w:ascii="Arial" w:hAnsi="Arial" w:cs="Arial"/>
          <w:sz w:val="24"/>
          <w:szCs w:val="24"/>
        </w:rPr>
        <w:t xml:space="preserve">court </w:t>
      </w:r>
      <w:r w:rsidR="003031E7" w:rsidRPr="00424846">
        <w:rPr>
          <w:rFonts w:ascii="Arial" w:hAnsi="Arial" w:cs="Arial"/>
          <w:sz w:val="24"/>
          <w:szCs w:val="24"/>
        </w:rPr>
        <w:t xml:space="preserve">concluded, like Abu Qatada, </w:t>
      </w:r>
      <w:r w:rsidR="00047726" w:rsidRPr="00424846">
        <w:rPr>
          <w:rFonts w:ascii="Arial" w:hAnsi="Arial" w:cs="Arial"/>
          <w:sz w:val="24"/>
          <w:szCs w:val="24"/>
        </w:rPr>
        <w:t>that his</w:t>
      </w:r>
      <w:r w:rsidR="003031E7" w:rsidRPr="00424846">
        <w:rPr>
          <w:rFonts w:ascii="Arial" w:hAnsi="Arial" w:cs="Arial"/>
          <w:sz w:val="24"/>
          <w:szCs w:val="24"/>
        </w:rPr>
        <w:t xml:space="preserve"> alleged </w:t>
      </w:r>
      <w:r w:rsidR="00047726" w:rsidRPr="00424846">
        <w:rPr>
          <w:rFonts w:ascii="Arial" w:hAnsi="Arial" w:cs="Arial"/>
          <w:sz w:val="24"/>
          <w:szCs w:val="24"/>
        </w:rPr>
        <w:t>involvement in terrorism was irrelevant</w:t>
      </w:r>
      <w:r w:rsidR="00A5636D" w:rsidRPr="00424846">
        <w:rPr>
          <w:rFonts w:ascii="Arial" w:hAnsi="Arial" w:cs="Arial"/>
          <w:sz w:val="24"/>
          <w:szCs w:val="24"/>
        </w:rPr>
        <w:t xml:space="preserve">, since </w:t>
      </w:r>
      <w:r w:rsidR="0032780F" w:rsidRPr="00424846">
        <w:rPr>
          <w:rFonts w:ascii="Arial" w:hAnsi="Arial" w:cs="Arial"/>
          <w:sz w:val="24"/>
          <w:szCs w:val="24"/>
        </w:rPr>
        <w:t>the protection afforded by Art</w:t>
      </w:r>
      <w:r w:rsidR="003031E7" w:rsidRPr="00424846">
        <w:rPr>
          <w:rFonts w:ascii="Arial" w:hAnsi="Arial" w:cs="Arial"/>
          <w:sz w:val="24"/>
          <w:szCs w:val="24"/>
        </w:rPr>
        <w:t>.</w:t>
      </w:r>
      <w:r w:rsidR="0032780F" w:rsidRPr="00424846">
        <w:rPr>
          <w:rFonts w:ascii="Arial" w:hAnsi="Arial" w:cs="Arial"/>
          <w:sz w:val="24"/>
          <w:szCs w:val="24"/>
        </w:rPr>
        <w:t>3 is absolute</w:t>
      </w:r>
      <w:r w:rsidR="003031E7" w:rsidRPr="00424846">
        <w:rPr>
          <w:rFonts w:ascii="Arial" w:hAnsi="Arial" w:cs="Arial"/>
          <w:sz w:val="24"/>
          <w:szCs w:val="24"/>
        </w:rPr>
        <w:t xml:space="preserve">, </w:t>
      </w:r>
      <w:r w:rsidR="0032780F" w:rsidRPr="00424846">
        <w:rPr>
          <w:rFonts w:ascii="Arial" w:hAnsi="Arial" w:cs="Arial"/>
          <w:sz w:val="24"/>
          <w:szCs w:val="24"/>
        </w:rPr>
        <w:t xml:space="preserve">regardless of conduct. </w:t>
      </w:r>
      <w:r w:rsidR="000A0F3D" w:rsidRPr="00424846">
        <w:rPr>
          <w:rFonts w:ascii="Arial" w:hAnsi="Arial" w:cs="Arial"/>
          <w:sz w:val="24"/>
          <w:szCs w:val="24"/>
        </w:rPr>
        <w:t xml:space="preserve">The case of </w:t>
      </w:r>
      <w:bookmarkStart w:id="31" w:name="_Hlk36153751"/>
      <w:r w:rsidR="000A0F3D" w:rsidRPr="00424846">
        <w:rPr>
          <w:rFonts w:ascii="Arial" w:hAnsi="Arial" w:cs="Arial"/>
          <w:sz w:val="24"/>
          <w:szCs w:val="24"/>
        </w:rPr>
        <w:t>Pinochet 1999</w:t>
      </w:r>
      <w:bookmarkEnd w:id="31"/>
      <w:r w:rsidR="00E309CA" w:rsidRPr="00424846">
        <w:rPr>
          <w:rStyle w:val="FootnoteReference"/>
          <w:rFonts w:ascii="Arial" w:hAnsi="Arial" w:cs="Arial"/>
          <w:sz w:val="24"/>
          <w:szCs w:val="24"/>
        </w:rPr>
        <w:footnoteReference w:id="60"/>
      </w:r>
      <w:r w:rsidR="000A0F3D" w:rsidRPr="00424846">
        <w:rPr>
          <w:rFonts w:ascii="Arial" w:hAnsi="Arial" w:cs="Arial"/>
          <w:sz w:val="24"/>
          <w:szCs w:val="24"/>
        </w:rPr>
        <w:t xml:space="preserve"> </w:t>
      </w:r>
      <w:r w:rsidR="000D3A7F" w:rsidRPr="00424846">
        <w:rPr>
          <w:rFonts w:ascii="Arial" w:hAnsi="Arial" w:cs="Arial"/>
          <w:sz w:val="24"/>
          <w:szCs w:val="24"/>
        </w:rPr>
        <w:t xml:space="preserve">and </w:t>
      </w:r>
      <w:bookmarkStart w:id="33" w:name="_Hlk36153797"/>
      <w:r w:rsidR="000D3A7F" w:rsidRPr="00424846">
        <w:rPr>
          <w:rFonts w:ascii="Arial" w:hAnsi="Arial" w:cs="Arial"/>
          <w:sz w:val="24"/>
          <w:szCs w:val="24"/>
        </w:rPr>
        <w:t>Ron Jones v Saudi Arabia</w:t>
      </w:r>
      <w:bookmarkEnd w:id="33"/>
      <w:r w:rsidR="00A5636D" w:rsidRPr="00424846">
        <w:rPr>
          <w:rStyle w:val="FootnoteReference"/>
          <w:rFonts w:ascii="Arial" w:hAnsi="Arial" w:cs="Arial"/>
          <w:sz w:val="24"/>
          <w:szCs w:val="24"/>
        </w:rPr>
        <w:footnoteReference w:id="61"/>
      </w:r>
      <w:r w:rsidR="000D3A7F" w:rsidRPr="00424846">
        <w:rPr>
          <w:rFonts w:ascii="Arial" w:hAnsi="Arial" w:cs="Arial"/>
          <w:sz w:val="24"/>
          <w:szCs w:val="24"/>
        </w:rPr>
        <w:t xml:space="preserve"> </w:t>
      </w:r>
      <w:r w:rsidR="000A0F3D" w:rsidRPr="00424846">
        <w:rPr>
          <w:rFonts w:ascii="Arial" w:hAnsi="Arial" w:cs="Arial"/>
          <w:sz w:val="24"/>
          <w:szCs w:val="24"/>
        </w:rPr>
        <w:t xml:space="preserve">goes further, by establishing that there is no </w:t>
      </w:r>
      <w:r w:rsidR="00B96F57" w:rsidRPr="00424846">
        <w:rPr>
          <w:rFonts w:ascii="Arial" w:hAnsi="Arial" w:cs="Arial"/>
          <w:sz w:val="24"/>
          <w:szCs w:val="24"/>
        </w:rPr>
        <w:t xml:space="preserve">criminal </w:t>
      </w:r>
      <w:r w:rsidR="000A0F3D" w:rsidRPr="00424846">
        <w:rPr>
          <w:rFonts w:ascii="Arial" w:hAnsi="Arial" w:cs="Arial"/>
          <w:sz w:val="24"/>
          <w:szCs w:val="24"/>
        </w:rPr>
        <w:t>immunity from the law for foreign heads of state if they participate in torture</w:t>
      </w:r>
      <w:r w:rsidR="00FD45B1" w:rsidRPr="00424846">
        <w:rPr>
          <w:rStyle w:val="FootnoteReference"/>
          <w:rFonts w:ascii="Arial" w:hAnsi="Arial" w:cs="Arial"/>
          <w:sz w:val="24"/>
          <w:szCs w:val="24"/>
        </w:rPr>
        <w:footnoteReference w:id="62"/>
      </w:r>
      <w:r w:rsidR="00B96F57" w:rsidRPr="00424846">
        <w:rPr>
          <w:rFonts w:ascii="Arial" w:hAnsi="Arial" w:cs="Arial"/>
          <w:sz w:val="24"/>
          <w:szCs w:val="24"/>
        </w:rPr>
        <w:t xml:space="preserve">. </w:t>
      </w:r>
    </w:p>
    <w:p w14:paraId="19EE45C0" w14:textId="77777777" w:rsidR="00862139" w:rsidRDefault="00862139" w:rsidP="00862139">
      <w:pPr>
        <w:spacing w:line="480" w:lineRule="auto"/>
        <w:jc w:val="both"/>
        <w:rPr>
          <w:rFonts w:ascii="Arial" w:hAnsi="Arial" w:cs="Arial"/>
          <w:sz w:val="24"/>
          <w:szCs w:val="24"/>
        </w:rPr>
      </w:pPr>
    </w:p>
    <w:p w14:paraId="6C631570" w14:textId="77777777" w:rsidR="00862139" w:rsidRDefault="00862139" w:rsidP="00862139">
      <w:pPr>
        <w:spacing w:line="480" w:lineRule="auto"/>
        <w:jc w:val="both"/>
        <w:rPr>
          <w:rFonts w:ascii="Arial" w:hAnsi="Arial" w:cs="Arial"/>
          <w:sz w:val="24"/>
          <w:szCs w:val="24"/>
        </w:rPr>
      </w:pPr>
    </w:p>
    <w:p w14:paraId="4859CB7A" w14:textId="77777777" w:rsidR="00862139" w:rsidRDefault="00862139" w:rsidP="00862139">
      <w:pPr>
        <w:spacing w:line="480" w:lineRule="auto"/>
        <w:jc w:val="both"/>
        <w:rPr>
          <w:rFonts w:ascii="Arial" w:hAnsi="Arial" w:cs="Arial"/>
          <w:sz w:val="24"/>
          <w:szCs w:val="24"/>
        </w:rPr>
      </w:pPr>
    </w:p>
    <w:p w14:paraId="7B605A47" w14:textId="303A519D" w:rsidR="00D224BC" w:rsidRPr="00862139" w:rsidRDefault="00C56A31" w:rsidP="00862139">
      <w:pPr>
        <w:spacing w:line="480" w:lineRule="auto"/>
        <w:jc w:val="center"/>
        <w:rPr>
          <w:rFonts w:ascii="Arial" w:hAnsi="Arial" w:cs="Arial"/>
          <w:b/>
          <w:bCs/>
          <w:sz w:val="24"/>
          <w:szCs w:val="24"/>
          <w:u w:val="single"/>
        </w:rPr>
      </w:pPr>
      <w:r w:rsidRPr="00862139">
        <w:rPr>
          <w:rFonts w:ascii="Arial" w:hAnsi="Arial" w:cs="Arial"/>
          <w:b/>
          <w:bCs/>
          <w:sz w:val="24"/>
          <w:szCs w:val="24"/>
          <w:u w:val="single"/>
        </w:rPr>
        <w:lastRenderedPageBreak/>
        <w:t>Critique:</w:t>
      </w:r>
    </w:p>
    <w:p w14:paraId="2EA0F7C5" w14:textId="423D1183" w:rsidR="00D224BC" w:rsidRPr="00424846" w:rsidRDefault="00D224BC" w:rsidP="00862139">
      <w:pPr>
        <w:spacing w:line="480" w:lineRule="auto"/>
        <w:jc w:val="both"/>
        <w:rPr>
          <w:rFonts w:ascii="Arial" w:hAnsi="Arial" w:cs="Arial"/>
          <w:sz w:val="24"/>
          <w:szCs w:val="24"/>
        </w:rPr>
      </w:pPr>
      <w:r w:rsidRPr="00424846">
        <w:rPr>
          <w:rFonts w:ascii="Arial" w:hAnsi="Arial" w:cs="Arial"/>
          <w:sz w:val="24"/>
          <w:szCs w:val="24"/>
        </w:rPr>
        <w:t>D</w:t>
      </w:r>
      <w:r w:rsidR="00740A41" w:rsidRPr="00424846">
        <w:rPr>
          <w:rFonts w:ascii="Arial" w:hAnsi="Arial" w:cs="Arial"/>
          <w:sz w:val="24"/>
          <w:szCs w:val="24"/>
        </w:rPr>
        <w:t xml:space="preserve">espite the </w:t>
      </w:r>
      <w:r w:rsidR="006715F1" w:rsidRPr="00424846">
        <w:rPr>
          <w:rFonts w:ascii="Arial" w:hAnsi="Arial" w:cs="Arial"/>
          <w:sz w:val="24"/>
          <w:szCs w:val="24"/>
        </w:rPr>
        <w:t>prohibition of torture shown above</w:t>
      </w:r>
      <w:r w:rsidR="005D6A9D" w:rsidRPr="00424846">
        <w:rPr>
          <w:rFonts w:ascii="Arial" w:hAnsi="Arial" w:cs="Arial"/>
          <w:sz w:val="24"/>
          <w:szCs w:val="24"/>
        </w:rPr>
        <w:t>, s</w:t>
      </w:r>
      <w:r w:rsidR="00740A41" w:rsidRPr="00424846">
        <w:rPr>
          <w:rFonts w:ascii="Arial" w:hAnsi="Arial" w:cs="Arial"/>
          <w:sz w:val="24"/>
          <w:szCs w:val="24"/>
        </w:rPr>
        <w:t>.</w:t>
      </w:r>
      <w:r w:rsidR="005D6A9D" w:rsidRPr="00424846">
        <w:rPr>
          <w:rFonts w:ascii="Arial" w:hAnsi="Arial" w:cs="Arial"/>
          <w:sz w:val="24"/>
          <w:szCs w:val="24"/>
        </w:rPr>
        <w:t xml:space="preserve">134 of the </w:t>
      </w:r>
      <w:r w:rsidR="00740A41" w:rsidRPr="00424846">
        <w:rPr>
          <w:rFonts w:ascii="Arial" w:hAnsi="Arial" w:cs="Arial"/>
          <w:sz w:val="24"/>
          <w:szCs w:val="24"/>
        </w:rPr>
        <w:t>CJA</w:t>
      </w:r>
      <w:r w:rsidR="005D6A9D" w:rsidRPr="00424846">
        <w:rPr>
          <w:rFonts w:ascii="Arial" w:hAnsi="Arial" w:cs="Arial"/>
          <w:sz w:val="24"/>
          <w:szCs w:val="24"/>
        </w:rPr>
        <w:t xml:space="preserve"> indicates a defence</w:t>
      </w:r>
      <w:r w:rsidR="00740A41" w:rsidRPr="00424846">
        <w:rPr>
          <w:rFonts w:ascii="Arial" w:hAnsi="Arial" w:cs="Arial"/>
          <w:sz w:val="24"/>
          <w:szCs w:val="24"/>
        </w:rPr>
        <w:t xml:space="preserve"> </w:t>
      </w:r>
      <w:r w:rsidR="005D6A9D" w:rsidRPr="00424846">
        <w:rPr>
          <w:rFonts w:ascii="Arial" w:hAnsi="Arial" w:cs="Arial"/>
          <w:sz w:val="24"/>
          <w:szCs w:val="24"/>
        </w:rPr>
        <w:t>for the use of torture</w:t>
      </w:r>
      <w:r w:rsidR="00740A41" w:rsidRPr="00424846">
        <w:rPr>
          <w:rFonts w:ascii="Arial" w:hAnsi="Arial" w:cs="Arial"/>
          <w:sz w:val="24"/>
          <w:szCs w:val="24"/>
        </w:rPr>
        <w:t xml:space="preserve"> by state officials, cited in subsection 4</w:t>
      </w:r>
      <w:r w:rsidR="00897F91" w:rsidRPr="00424846">
        <w:rPr>
          <w:rStyle w:val="FootnoteReference"/>
          <w:rFonts w:ascii="Arial" w:hAnsi="Arial" w:cs="Arial"/>
          <w:sz w:val="24"/>
          <w:szCs w:val="24"/>
        </w:rPr>
        <w:footnoteReference w:id="63"/>
      </w:r>
      <w:r w:rsidR="00740A41" w:rsidRPr="00424846">
        <w:rPr>
          <w:rFonts w:ascii="Arial" w:hAnsi="Arial" w:cs="Arial"/>
          <w:sz w:val="24"/>
          <w:szCs w:val="24"/>
        </w:rPr>
        <w:t xml:space="preserve">, </w:t>
      </w:r>
      <w:r w:rsidR="006715F1" w:rsidRPr="00424846">
        <w:rPr>
          <w:rFonts w:ascii="Arial" w:hAnsi="Arial" w:cs="Arial"/>
          <w:sz w:val="24"/>
          <w:szCs w:val="24"/>
        </w:rPr>
        <w:t>where</w:t>
      </w:r>
      <w:r w:rsidR="00740A41" w:rsidRPr="00424846">
        <w:rPr>
          <w:rFonts w:ascii="Arial" w:hAnsi="Arial" w:cs="Arial"/>
          <w:sz w:val="24"/>
          <w:szCs w:val="24"/>
        </w:rPr>
        <w:t xml:space="preserve"> </w:t>
      </w:r>
      <w:r w:rsidR="005D6A9D" w:rsidRPr="00424846">
        <w:rPr>
          <w:rFonts w:ascii="Arial" w:hAnsi="Arial" w:cs="Arial"/>
          <w:sz w:val="24"/>
          <w:szCs w:val="24"/>
        </w:rPr>
        <w:t xml:space="preserve">they </w:t>
      </w:r>
      <w:r w:rsidR="00740A41" w:rsidRPr="00424846">
        <w:rPr>
          <w:rFonts w:ascii="Arial" w:hAnsi="Arial" w:cs="Arial"/>
          <w:sz w:val="24"/>
          <w:szCs w:val="24"/>
        </w:rPr>
        <w:t xml:space="preserve">may </w:t>
      </w:r>
      <w:r w:rsidR="005D6A9D" w:rsidRPr="00424846">
        <w:rPr>
          <w:rFonts w:ascii="Arial" w:hAnsi="Arial" w:cs="Arial"/>
          <w:sz w:val="24"/>
          <w:szCs w:val="24"/>
        </w:rPr>
        <w:t xml:space="preserve">have ‘…lawful authority, justification or excuse for </w:t>
      </w:r>
      <w:r w:rsidR="00A5636D" w:rsidRPr="00424846">
        <w:rPr>
          <w:rFonts w:ascii="Arial" w:hAnsi="Arial" w:cs="Arial"/>
          <w:sz w:val="24"/>
          <w:szCs w:val="24"/>
        </w:rPr>
        <w:t>[torture]</w:t>
      </w:r>
      <w:r w:rsidR="005D6A9D" w:rsidRPr="00424846">
        <w:rPr>
          <w:rFonts w:ascii="Arial" w:hAnsi="Arial" w:cs="Arial"/>
          <w:sz w:val="24"/>
          <w:szCs w:val="24"/>
        </w:rPr>
        <w:t>’</w:t>
      </w:r>
      <w:r w:rsidR="006A343D" w:rsidRPr="00424846">
        <w:rPr>
          <w:rStyle w:val="FootnoteReference"/>
          <w:rFonts w:ascii="Arial" w:hAnsi="Arial" w:cs="Arial"/>
          <w:sz w:val="24"/>
          <w:szCs w:val="24"/>
        </w:rPr>
        <w:footnoteReference w:id="64"/>
      </w:r>
      <w:r w:rsidR="006715F1" w:rsidRPr="00424846">
        <w:rPr>
          <w:rFonts w:ascii="Arial" w:hAnsi="Arial" w:cs="Arial"/>
          <w:sz w:val="24"/>
          <w:szCs w:val="24"/>
        </w:rPr>
        <w:t xml:space="preserve">, </w:t>
      </w:r>
      <w:r w:rsidR="00740A41" w:rsidRPr="00424846">
        <w:rPr>
          <w:rFonts w:ascii="Arial" w:hAnsi="Arial" w:cs="Arial"/>
          <w:sz w:val="24"/>
          <w:szCs w:val="24"/>
        </w:rPr>
        <w:t>which wi</w:t>
      </w:r>
      <w:r w:rsidR="006715F1" w:rsidRPr="00424846">
        <w:rPr>
          <w:rFonts w:ascii="Arial" w:hAnsi="Arial" w:cs="Arial"/>
          <w:sz w:val="24"/>
          <w:szCs w:val="24"/>
        </w:rPr>
        <w:t>ll</w:t>
      </w:r>
      <w:r w:rsidR="00740A41" w:rsidRPr="00424846">
        <w:rPr>
          <w:rFonts w:ascii="Arial" w:hAnsi="Arial" w:cs="Arial"/>
          <w:sz w:val="24"/>
          <w:szCs w:val="24"/>
        </w:rPr>
        <w:t xml:space="preserve"> render their act </w:t>
      </w:r>
      <w:r w:rsidR="00372172" w:rsidRPr="00424846">
        <w:rPr>
          <w:rFonts w:ascii="Arial" w:hAnsi="Arial" w:cs="Arial"/>
          <w:sz w:val="24"/>
          <w:szCs w:val="24"/>
        </w:rPr>
        <w:t xml:space="preserve">of torture </w:t>
      </w:r>
      <w:r w:rsidR="006715F1" w:rsidRPr="00424846">
        <w:rPr>
          <w:rFonts w:ascii="Arial" w:hAnsi="Arial" w:cs="Arial"/>
          <w:sz w:val="24"/>
          <w:szCs w:val="24"/>
        </w:rPr>
        <w:t>permissible</w:t>
      </w:r>
      <w:r w:rsidR="00372172" w:rsidRPr="00424846">
        <w:rPr>
          <w:rFonts w:ascii="Arial" w:hAnsi="Arial" w:cs="Arial"/>
          <w:sz w:val="24"/>
          <w:szCs w:val="24"/>
        </w:rPr>
        <w:t xml:space="preserve"> according to law. This is problematic because it</w:t>
      </w:r>
      <w:r w:rsidR="006715F1" w:rsidRPr="00424846">
        <w:rPr>
          <w:rFonts w:ascii="Arial" w:hAnsi="Arial" w:cs="Arial"/>
          <w:sz w:val="24"/>
          <w:szCs w:val="24"/>
        </w:rPr>
        <w:t xml:space="preserve"> undermin</w:t>
      </w:r>
      <w:r w:rsidR="003A6FB7" w:rsidRPr="00424846">
        <w:rPr>
          <w:rFonts w:ascii="Arial" w:hAnsi="Arial" w:cs="Arial"/>
          <w:sz w:val="24"/>
          <w:szCs w:val="24"/>
        </w:rPr>
        <w:t>es</w:t>
      </w:r>
      <w:r w:rsidR="006715F1" w:rsidRPr="00424846">
        <w:rPr>
          <w:rFonts w:ascii="Arial" w:hAnsi="Arial" w:cs="Arial"/>
          <w:sz w:val="24"/>
          <w:szCs w:val="24"/>
        </w:rPr>
        <w:t xml:space="preserve"> </w:t>
      </w:r>
      <w:r w:rsidR="005D6A9D" w:rsidRPr="00424846">
        <w:rPr>
          <w:rFonts w:ascii="Arial" w:hAnsi="Arial" w:cs="Arial"/>
          <w:sz w:val="24"/>
          <w:szCs w:val="24"/>
        </w:rPr>
        <w:t>the</w:t>
      </w:r>
      <w:r w:rsidR="006715F1" w:rsidRPr="00424846">
        <w:rPr>
          <w:rFonts w:ascii="Arial" w:hAnsi="Arial" w:cs="Arial"/>
          <w:sz w:val="24"/>
          <w:szCs w:val="24"/>
        </w:rPr>
        <w:t xml:space="preserve"> ‘absoluteness’ of the </w:t>
      </w:r>
      <w:r w:rsidR="005D6A9D" w:rsidRPr="00424846">
        <w:rPr>
          <w:rFonts w:ascii="Arial" w:hAnsi="Arial" w:cs="Arial"/>
          <w:sz w:val="24"/>
          <w:szCs w:val="24"/>
        </w:rPr>
        <w:t xml:space="preserve">anti-torture </w:t>
      </w:r>
      <w:r w:rsidR="006715F1" w:rsidRPr="00424846">
        <w:rPr>
          <w:rFonts w:ascii="Arial" w:hAnsi="Arial" w:cs="Arial"/>
          <w:sz w:val="24"/>
          <w:szCs w:val="24"/>
        </w:rPr>
        <w:t xml:space="preserve">provision and </w:t>
      </w:r>
      <w:r w:rsidR="004A12B2" w:rsidRPr="00424846">
        <w:rPr>
          <w:rFonts w:ascii="Arial" w:hAnsi="Arial" w:cs="Arial"/>
          <w:sz w:val="24"/>
          <w:szCs w:val="24"/>
        </w:rPr>
        <w:t>a</w:t>
      </w:r>
      <w:r w:rsidR="005D6A9D" w:rsidRPr="00424846">
        <w:rPr>
          <w:rFonts w:ascii="Arial" w:hAnsi="Arial" w:cs="Arial"/>
          <w:sz w:val="24"/>
          <w:szCs w:val="24"/>
        </w:rPr>
        <w:t>llow</w:t>
      </w:r>
      <w:r w:rsidR="003A6FB7" w:rsidRPr="00424846">
        <w:rPr>
          <w:rFonts w:ascii="Arial" w:hAnsi="Arial" w:cs="Arial"/>
          <w:sz w:val="24"/>
          <w:szCs w:val="24"/>
        </w:rPr>
        <w:t>s</w:t>
      </w:r>
      <w:r w:rsidR="005D6A9D" w:rsidRPr="00424846">
        <w:rPr>
          <w:rFonts w:ascii="Arial" w:hAnsi="Arial" w:cs="Arial"/>
          <w:sz w:val="24"/>
          <w:szCs w:val="24"/>
        </w:rPr>
        <w:t xml:space="preserve"> the state to still </w:t>
      </w:r>
      <w:r w:rsidR="006715F1" w:rsidRPr="00424846">
        <w:rPr>
          <w:rFonts w:ascii="Arial" w:hAnsi="Arial" w:cs="Arial"/>
          <w:sz w:val="24"/>
          <w:szCs w:val="24"/>
        </w:rPr>
        <w:t>exercise</w:t>
      </w:r>
      <w:r w:rsidR="005D6A9D" w:rsidRPr="00424846">
        <w:rPr>
          <w:rFonts w:ascii="Arial" w:hAnsi="Arial" w:cs="Arial"/>
          <w:sz w:val="24"/>
          <w:szCs w:val="24"/>
        </w:rPr>
        <w:t xml:space="preserve"> control over whether </w:t>
      </w:r>
      <w:r w:rsidR="003A6FB7" w:rsidRPr="00424846">
        <w:rPr>
          <w:rFonts w:ascii="Arial" w:hAnsi="Arial" w:cs="Arial"/>
          <w:sz w:val="24"/>
          <w:szCs w:val="24"/>
        </w:rPr>
        <w:t xml:space="preserve">their </w:t>
      </w:r>
      <w:r w:rsidR="005D6A9D" w:rsidRPr="00424846">
        <w:rPr>
          <w:rFonts w:ascii="Arial" w:hAnsi="Arial" w:cs="Arial"/>
          <w:sz w:val="24"/>
          <w:szCs w:val="24"/>
        </w:rPr>
        <w:t>officials</w:t>
      </w:r>
      <w:r w:rsidR="004A12B2" w:rsidRPr="00424846">
        <w:rPr>
          <w:rFonts w:ascii="Arial" w:hAnsi="Arial" w:cs="Arial"/>
          <w:sz w:val="24"/>
          <w:szCs w:val="24"/>
        </w:rPr>
        <w:t xml:space="preserve"> </w:t>
      </w:r>
      <w:r w:rsidR="005D6A9D" w:rsidRPr="00424846">
        <w:rPr>
          <w:rFonts w:ascii="Arial" w:hAnsi="Arial" w:cs="Arial"/>
          <w:sz w:val="24"/>
          <w:szCs w:val="24"/>
        </w:rPr>
        <w:t>will be held accountable for their crime of torture</w:t>
      </w:r>
      <w:r w:rsidR="006A343D" w:rsidRPr="00424846">
        <w:rPr>
          <w:rFonts w:ascii="Arial" w:hAnsi="Arial" w:cs="Arial"/>
          <w:sz w:val="24"/>
          <w:szCs w:val="24"/>
        </w:rPr>
        <w:t xml:space="preserve"> or not, </w:t>
      </w:r>
      <w:r w:rsidR="003A6FB7" w:rsidRPr="00424846">
        <w:rPr>
          <w:rFonts w:ascii="Arial" w:hAnsi="Arial" w:cs="Arial"/>
          <w:sz w:val="24"/>
          <w:szCs w:val="24"/>
        </w:rPr>
        <w:t xml:space="preserve">effectively, giving them a ‘back door exit’ by </w:t>
      </w:r>
      <w:r w:rsidR="006A343D" w:rsidRPr="00424846">
        <w:rPr>
          <w:rFonts w:ascii="Arial" w:hAnsi="Arial" w:cs="Arial"/>
          <w:sz w:val="24"/>
          <w:szCs w:val="24"/>
        </w:rPr>
        <w:t>eliminating liability for their crime</w:t>
      </w:r>
      <w:r w:rsidR="003A6FB7" w:rsidRPr="00424846">
        <w:rPr>
          <w:rFonts w:ascii="Arial" w:hAnsi="Arial" w:cs="Arial"/>
          <w:sz w:val="24"/>
          <w:szCs w:val="24"/>
        </w:rPr>
        <w:t xml:space="preserve"> under this defence</w:t>
      </w:r>
      <w:r w:rsidR="004772BB" w:rsidRPr="00424846">
        <w:rPr>
          <w:rStyle w:val="FootnoteReference"/>
          <w:rFonts w:ascii="Arial" w:hAnsi="Arial" w:cs="Arial"/>
          <w:sz w:val="24"/>
          <w:szCs w:val="24"/>
        </w:rPr>
        <w:footnoteReference w:id="65"/>
      </w:r>
      <w:r w:rsidR="006A343D" w:rsidRPr="00424846">
        <w:rPr>
          <w:rFonts w:ascii="Arial" w:hAnsi="Arial" w:cs="Arial"/>
          <w:sz w:val="24"/>
          <w:szCs w:val="24"/>
        </w:rPr>
        <w:t>.</w:t>
      </w:r>
      <w:r w:rsidR="004600D6" w:rsidRPr="00424846">
        <w:rPr>
          <w:rFonts w:ascii="Arial" w:hAnsi="Arial" w:cs="Arial"/>
          <w:sz w:val="24"/>
          <w:szCs w:val="24"/>
        </w:rPr>
        <w:t xml:space="preserve"> </w:t>
      </w:r>
      <w:r w:rsidR="002277AC" w:rsidRPr="00424846">
        <w:rPr>
          <w:rFonts w:ascii="Arial" w:hAnsi="Arial" w:cs="Arial"/>
          <w:sz w:val="24"/>
          <w:szCs w:val="24"/>
        </w:rPr>
        <w:t>Ambos</w:t>
      </w:r>
      <w:r w:rsidRPr="00424846">
        <w:rPr>
          <w:rStyle w:val="FootnoteReference"/>
          <w:rFonts w:ascii="Arial" w:hAnsi="Arial" w:cs="Arial"/>
          <w:sz w:val="24"/>
          <w:szCs w:val="24"/>
        </w:rPr>
        <w:footnoteReference w:id="66"/>
      </w:r>
      <w:r w:rsidR="002277AC" w:rsidRPr="00424846">
        <w:rPr>
          <w:rFonts w:ascii="Arial" w:hAnsi="Arial" w:cs="Arial"/>
          <w:sz w:val="24"/>
          <w:szCs w:val="24"/>
        </w:rPr>
        <w:t xml:space="preserve"> argues that </w:t>
      </w:r>
      <w:r w:rsidR="00F51C9F" w:rsidRPr="00424846">
        <w:rPr>
          <w:rFonts w:ascii="Arial" w:hAnsi="Arial" w:cs="Arial"/>
          <w:sz w:val="24"/>
          <w:szCs w:val="24"/>
        </w:rPr>
        <w:t>Subsection 4</w:t>
      </w:r>
      <w:r w:rsidR="00897F91" w:rsidRPr="00424846">
        <w:rPr>
          <w:rFonts w:ascii="Arial" w:hAnsi="Arial" w:cs="Arial"/>
          <w:sz w:val="24"/>
          <w:szCs w:val="24"/>
        </w:rPr>
        <w:t xml:space="preserve"> </w:t>
      </w:r>
      <w:r w:rsidR="00F51C9F" w:rsidRPr="00424846">
        <w:rPr>
          <w:rFonts w:ascii="Arial" w:hAnsi="Arial" w:cs="Arial"/>
          <w:sz w:val="24"/>
          <w:szCs w:val="24"/>
        </w:rPr>
        <w:t xml:space="preserve">creates a loophole in the general anti-torture law, which at best, </w:t>
      </w:r>
      <w:r w:rsidR="000D3E6A" w:rsidRPr="00424846">
        <w:rPr>
          <w:rFonts w:ascii="Arial" w:hAnsi="Arial" w:cs="Arial"/>
          <w:sz w:val="24"/>
          <w:szCs w:val="24"/>
        </w:rPr>
        <w:t xml:space="preserve">can </w:t>
      </w:r>
      <w:r w:rsidR="00F51C9F" w:rsidRPr="00424846">
        <w:rPr>
          <w:rFonts w:ascii="Arial" w:hAnsi="Arial" w:cs="Arial"/>
          <w:sz w:val="24"/>
          <w:szCs w:val="24"/>
        </w:rPr>
        <w:t>act as a very small loophole, which</w:t>
      </w:r>
      <w:r w:rsidR="002277AC" w:rsidRPr="00424846">
        <w:rPr>
          <w:rFonts w:ascii="Arial" w:hAnsi="Arial" w:cs="Arial"/>
          <w:sz w:val="24"/>
          <w:szCs w:val="24"/>
        </w:rPr>
        <w:t xml:space="preserve"> is </w:t>
      </w:r>
      <w:r w:rsidR="00F51C9F" w:rsidRPr="00424846">
        <w:rPr>
          <w:rFonts w:ascii="Arial" w:hAnsi="Arial" w:cs="Arial"/>
          <w:sz w:val="24"/>
          <w:szCs w:val="24"/>
        </w:rPr>
        <w:t>made even more limited by the court’s applying it very strictly</w:t>
      </w:r>
      <w:r w:rsidR="00897F91" w:rsidRPr="00424846">
        <w:rPr>
          <w:rFonts w:ascii="Arial" w:hAnsi="Arial" w:cs="Arial"/>
          <w:sz w:val="24"/>
          <w:szCs w:val="24"/>
        </w:rPr>
        <w:t>. O</w:t>
      </w:r>
      <w:r w:rsidR="0023337C" w:rsidRPr="00424846">
        <w:rPr>
          <w:rFonts w:ascii="Arial" w:hAnsi="Arial" w:cs="Arial"/>
          <w:sz w:val="24"/>
          <w:szCs w:val="24"/>
        </w:rPr>
        <w:t xml:space="preserve">r </w:t>
      </w:r>
      <w:r w:rsidR="00F51C9F" w:rsidRPr="00424846">
        <w:rPr>
          <w:rFonts w:ascii="Arial" w:hAnsi="Arial" w:cs="Arial"/>
          <w:sz w:val="24"/>
          <w:szCs w:val="24"/>
        </w:rPr>
        <w:t>at wors</w:t>
      </w:r>
      <w:r w:rsidR="005D72AD" w:rsidRPr="00424846">
        <w:rPr>
          <w:rFonts w:ascii="Arial" w:hAnsi="Arial" w:cs="Arial"/>
          <w:sz w:val="24"/>
          <w:szCs w:val="24"/>
        </w:rPr>
        <w:t>e</w:t>
      </w:r>
      <w:r w:rsidR="00F51C9F" w:rsidRPr="00424846">
        <w:rPr>
          <w:rFonts w:ascii="Arial" w:hAnsi="Arial" w:cs="Arial"/>
          <w:sz w:val="24"/>
          <w:szCs w:val="24"/>
        </w:rPr>
        <w:t>, it provid</w:t>
      </w:r>
      <w:r w:rsidR="002277AC" w:rsidRPr="00424846">
        <w:rPr>
          <w:rFonts w:ascii="Arial" w:hAnsi="Arial" w:cs="Arial"/>
          <w:sz w:val="24"/>
          <w:szCs w:val="24"/>
        </w:rPr>
        <w:t>es</w:t>
      </w:r>
      <w:r w:rsidR="00F51C9F" w:rsidRPr="00424846">
        <w:rPr>
          <w:rFonts w:ascii="Arial" w:hAnsi="Arial" w:cs="Arial"/>
          <w:sz w:val="24"/>
          <w:szCs w:val="24"/>
        </w:rPr>
        <w:t xml:space="preserve"> a ‘back door exit’ for the state </w:t>
      </w:r>
      <w:r w:rsidR="00271A84" w:rsidRPr="00424846">
        <w:rPr>
          <w:rFonts w:ascii="Arial" w:hAnsi="Arial" w:cs="Arial"/>
          <w:sz w:val="24"/>
          <w:szCs w:val="24"/>
        </w:rPr>
        <w:t>to</w:t>
      </w:r>
      <w:r w:rsidR="00F51C9F" w:rsidRPr="00424846">
        <w:rPr>
          <w:rFonts w:ascii="Arial" w:hAnsi="Arial" w:cs="Arial"/>
          <w:sz w:val="24"/>
          <w:szCs w:val="24"/>
        </w:rPr>
        <w:t xml:space="preserve"> justify its act of torture in ticking bomb scenarios. </w:t>
      </w:r>
      <w:r w:rsidR="002277AC" w:rsidRPr="00424846">
        <w:rPr>
          <w:rFonts w:ascii="Arial" w:hAnsi="Arial" w:cs="Arial"/>
          <w:sz w:val="24"/>
          <w:szCs w:val="24"/>
        </w:rPr>
        <w:t>Moreover</w:t>
      </w:r>
      <w:r w:rsidR="006A044E" w:rsidRPr="00424846">
        <w:rPr>
          <w:rFonts w:ascii="Arial" w:hAnsi="Arial" w:cs="Arial"/>
          <w:sz w:val="24"/>
          <w:szCs w:val="24"/>
        </w:rPr>
        <w:t xml:space="preserve">, </w:t>
      </w:r>
      <w:r w:rsidR="000D3E6A" w:rsidRPr="00424846">
        <w:rPr>
          <w:rFonts w:ascii="Arial" w:hAnsi="Arial" w:cs="Arial"/>
          <w:sz w:val="24"/>
          <w:szCs w:val="24"/>
        </w:rPr>
        <w:t>considering the language used in the defence</w:t>
      </w:r>
      <w:r w:rsidR="0003596A" w:rsidRPr="00424846">
        <w:rPr>
          <w:rFonts w:ascii="Arial" w:hAnsi="Arial" w:cs="Arial"/>
          <w:sz w:val="24"/>
          <w:szCs w:val="24"/>
        </w:rPr>
        <w:t xml:space="preserve"> (to </w:t>
      </w:r>
      <w:r w:rsidR="00B666E0" w:rsidRPr="00424846">
        <w:rPr>
          <w:rFonts w:ascii="Arial" w:hAnsi="Arial" w:cs="Arial"/>
          <w:sz w:val="24"/>
          <w:szCs w:val="24"/>
        </w:rPr>
        <w:t xml:space="preserve">‘excuse’ or </w:t>
      </w:r>
      <w:r w:rsidR="0003596A" w:rsidRPr="00424846">
        <w:rPr>
          <w:rFonts w:ascii="Arial" w:hAnsi="Arial" w:cs="Arial"/>
          <w:sz w:val="24"/>
          <w:szCs w:val="24"/>
        </w:rPr>
        <w:t>‘justify’)</w:t>
      </w:r>
      <w:r w:rsidR="000D3E6A" w:rsidRPr="00424846">
        <w:rPr>
          <w:rFonts w:ascii="Arial" w:hAnsi="Arial" w:cs="Arial"/>
          <w:sz w:val="24"/>
          <w:szCs w:val="24"/>
        </w:rPr>
        <w:t xml:space="preserve">, </w:t>
      </w:r>
      <w:r w:rsidR="006A044E" w:rsidRPr="00424846">
        <w:rPr>
          <w:rFonts w:ascii="Arial" w:hAnsi="Arial" w:cs="Arial"/>
          <w:sz w:val="24"/>
          <w:szCs w:val="24"/>
        </w:rPr>
        <w:t xml:space="preserve">it </w:t>
      </w:r>
      <w:r w:rsidR="00B666E0" w:rsidRPr="00424846">
        <w:rPr>
          <w:rFonts w:ascii="Arial" w:hAnsi="Arial" w:cs="Arial"/>
          <w:sz w:val="24"/>
          <w:szCs w:val="24"/>
        </w:rPr>
        <w:t>is</w:t>
      </w:r>
      <w:r w:rsidR="005D72AD" w:rsidRPr="00424846">
        <w:rPr>
          <w:rFonts w:ascii="Arial" w:hAnsi="Arial" w:cs="Arial"/>
          <w:sz w:val="24"/>
          <w:szCs w:val="24"/>
        </w:rPr>
        <w:t xml:space="preserve"> counter-productive to the purpose of the</w:t>
      </w:r>
      <w:r w:rsidR="006A044E" w:rsidRPr="00424846">
        <w:rPr>
          <w:rFonts w:ascii="Arial" w:hAnsi="Arial" w:cs="Arial"/>
          <w:sz w:val="24"/>
          <w:szCs w:val="24"/>
        </w:rPr>
        <w:t xml:space="preserve"> provision</w:t>
      </w:r>
      <w:r w:rsidR="005D72AD" w:rsidRPr="00424846">
        <w:rPr>
          <w:rFonts w:ascii="Arial" w:hAnsi="Arial" w:cs="Arial"/>
          <w:sz w:val="24"/>
          <w:szCs w:val="24"/>
        </w:rPr>
        <w:t xml:space="preserve">, </w:t>
      </w:r>
      <w:r w:rsidR="00B666E0" w:rsidRPr="00424846">
        <w:rPr>
          <w:rFonts w:ascii="Arial" w:hAnsi="Arial" w:cs="Arial"/>
          <w:sz w:val="24"/>
          <w:szCs w:val="24"/>
        </w:rPr>
        <w:t>as it</w:t>
      </w:r>
      <w:r w:rsidR="005D72AD" w:rsidRPr="00424846">
        <w:rPr>
          <w:rFonts w:ascii="Arial" w:hAnsi="Arial" w:cs="Arial"/>
          <w:sz w:val="24"/>
          <w:szCs w:val="24"/>
        </w:rPr>
        <w:t xml:space="preserve"> </w:t>
      </w:r>
      <w:r w:rsidR="006A343D" w:rsidRPr="00424846">
        <w:rPr>
          <w:rFonts w:ascii="Arial" w:hAnsi="Arial" w:cs="Arial"/>
          <w:sz w:val="24"/>
          <w:szCs w:val="24"/>
        </w:rPr>
        <w:t>lend</w:t>
      </w:r>
      <w:r w:rsidR="00B666E0" w:rsidRPr="00424846">
        <w:rPr>
          <w:rFonts w:ascii="Arial" w:hAnsi="Arial" w:cs="Arial"/>
          <w:sz w:val="24"/>
          <w:szCs w:val="24"/>
        </w:rPr>
        <w:t>s</w:t>
      </w:r>
      <w:r w:rsidR="006A343D" w:rsidRPr="00424846">
        <w:rPr>
          <w:rFonts w:ascii="Arial" w:hAnsi="Arial" w:cs="Arial"/>
          <w:sz w:val="24"/>
          <w:szCs w:val="24"/>
        </w:rPr>
        <w:t xml:space="preserve"> legitimacy</w:t>
      </w:r>
      <w:r w:rsidR="006A044E" w:rsidRPr="00424846">
        <w:rPr>
          <w:rFonts w:ascii="Arial" w:hAnsi="Arial" w:cs="Arial"/>
          <w:sz w:val="24"/>
          <w:szCs w:val="24"/>
        </w:rPr>
        <w:t xml:space="preserve"> </w:t>
      </w:r>
      <w:r w:rsidR="00D54D02" w:rsidRPr="00424846">
        <w:rPr>
          <w:rFonts w:ascii="Arial" w:hAnsi="Arial" w:cs="Arial"/>
          <w:sz w:val="24"/>
          <w:szCs w:val="24"/>
        </w:rPr>
        <w:t xml:space="preserve">to </w:t>
      </w:r>
      <w:r w:rsidR="005D72AD" w:rsidRPr="00424846">
        <w:rPr>
          <w:rFonts w:ascii="Arial" w:hAnsi="Arial" w:cs="Arial"/>
          <w:sz w:val="24"/>
          <w:szCs w:val="24"/>
        </w:rPr>
        <w:t xml:space="preserve">the </w:t>
      </w:r>
      <w:r w:rsidR="00D54D02" w:rsidRPr="00424846">
        <w:rPr>
          <w:rFonts w:ascii="Arial" w:hAnsi="Arial" w:cs="Arial"/>
          <w:sz w:val="24"/>
          <w:szCs w:val="24"/>
        </w:rPr>
        <w:t xml:space="preserve">abhorrent </w:t>
      </w:r>
      <w:r w:rsidR="006A044E" w:rsidRPr="00424846">
        <w:rPr>
          <w:rFonts w:ascii="Arial" w:hAnsi="Arial" w:cs="Arial"/>
          <w:sz w:val="24"/>
          <w:szCs w:val="24"/>
        </w:rPr>
        <w:t xml:space="preserve">torture </w:t>
      </w:r>
      <w:r w:rsidR="000E1D4F" w:rsidRPr="00424846">
        <w:rPr>
          <w:rFonts w:ascii="Arial" w:hAnsi="Arial" w:cs="Arial"/>
          <w:sz w:val="24"/>
          <w:szCs w:val="24"/>
        </w:rPr>
        <w:t>practices</w:t>
      </w:r>
      <w:r w:rsidR="00B666E0" w:rsidRPr="00424846">
        <w:rPr>
          <w:rFonts w:ascii="Arial" w:hAnsi="Arial" w:cs="Arial"/>
          <w:sz w:val="24"/>
          <w:szCs w:val="24"/>
        </w:rPr>
        <w:t xml:space="preserve">, </w:t>
      </w:r>
      <w:r w:rsidR="005D72AD" w:rsidRPr="00424846">
        <w:rPr>
          <w:rFonts w:ascii="Arial" w:hAnsi="Arial" w:cs="Arial"/>
          <w:sz w:val="24"/>
          <w:szCs w:val="24"/>
        </w:rPr>
        <w:t>it was supposed to prohibit</w:t>
      </w:r>
      <w:r w:rsidR="00D54D02" w:rsidRPr="00424846">
        <w:rPr>
          <w:rFonts w:ascii="Arial" w:hAnsi="Arial" w:cs="Arial"/>
          <w:sz w:val="24"/>
          <w:szCs w:val="24"/>
        </w:rPr>
        <w:t xml:space="preserve">, which at </w:t>
      </w:r>
      <w:r w:rsidR="005D72AD" w:rsidRPr="00424846">
        <w:rPr>
          <w:rFonts w:ascii="Arial" w:hAnsi="Arial" w:cs="Arial"/>
          <w:sz w:val="24"/>
          <w:szCs w:val="24"/>
        </w:rPr>
        <w:t xml:space="preserve">its </w:t>
      </w:r>
      <w:r w:rsidR="00D54D02" w:rsidRPr="00424846">
        <w:rPr>
          <w:rFonts w:ascii="Arial" w:hAnsi="Arial" w:cs="Arial"/>
          <w:sz w:val="24"/>
          <w:szCs w:val="24"/>
        </w:rPr>
        <w:t xml:space="preserve">worst, </w:t>
      </w:r>
      <w:r w:rsidR="005D72AD" w:rsidRPr="00424846">
        <w:rPr>
          <w:rFonts w:ascii="Arial" w:hAnsi="Arial" w:cs="Arial"/>
          <w:sz w:val="24"/>
          <w:szCs w:val="24"/>
        </w:rPr>
        <w:t>reflects</w:t>
      </w:r>
      <w:r w:rsidR="00D54D02" w:rsidRPr="00424846">
        <w:rPr>
          <w:rFonts w:ascii="Arial" w:hAnsi="Arial" w:cs="Arial"/>
          <w:sz w:val="24"/>
          <w:szCs w:val="24"/>
        </w:rPr>
        <w:t xml:space="preserve"> </w:t>
      </w:r>
      <w:r w:rsidR="00584C27" w:rsidRPr="00424846">
        <w:rPr>
          <w:rFonts w:ascii="Arial" w:hAnsi="Arial" w:cs="Arial"/>
          <w:sz w:val="24"/>
          <w:szCs w:val="24"/>
        </w:rPr>
        <w:t>Nazi Germany</w:t>
      </w:r>
      <w:r w:rsidR="00B97ABD" w:rsidRPr="00424846">
        <w:rPr>
          <w:rFonts w:ascii="Arial" w:hAnsi="Arial" w:cs="Arial"/>
          <w:sz w:val="24"/>
          <w:szCs w:val="24"/>
        </w:rPr>
        <w:t xml:space="preserve">’s justification </w:t>
      </w:r>
      <w:r w:rsidR="005D72AD" w:rsidRPr="00424846">
        <w:rPr>
          <w:rFonts w:ascii="Arial" w:hAnsi="Arial" w:cs="Arial"/>
          <w:sz w:val="24"/>
          <w:szCs w:val="24"/>
        </w:rPr>
        <w:t>of</w:t>
      </w:r>
      <w:r w:rsidR="00B97ABD" w:rsidRPr="00424846">
        <w:rPr>
          <w:rFonts w:ascii="Arial" w:hAnsi="Arial" w:cs="Arial"/>
          <w:sz w:val="24"/>
          <w:szCs w:val="24"/>
        </w:rPr>
        <w:t xml:space="preserve"> using torture</w:t>
      </w:r>
      <w:r w:rsidR="000E1D4F" w:rsidRPr="00424846">
        <w:rPr>
          <w:rStyle w:val="FootnoteReference"/>
          <w:rFonts w:ascii="Arial" w:hAnsi="Arial" w:cs="Arial"/>
          <w:sz w:val="24"/>
          <w:szCs w:val="24"/>
        </w:rPr>
        <w:footnoteReference w:id="67"/>
      </w:r>
      <w:r w:rsidR="000E1D4F" w:rsidRPr="00424846">
        <w:rPr>
          <w:rFonts w:ascii="Arial" w:hAnsi="Arial" w:cs="Arial"/>
          <w:sz w:val="24"/>
          <w:szCs w:val="24"/>
        </w:rPr>
        <w:t xml:space="preserve">. </w:t>
      </w:r>
    </w:p>
    <w:p w14:paraId="6754F19B" w14:textId="77777777" w:rsidR="00B47FDE" w:rsidRPr="00424846" w:rsidRDefault="00B666E0" w:rsidP="00862139">
      <w:pPr>
        <w:spacing w:line="480" w:lineRule="auto"/>
        <w:jc w:val="both"/>
        <w:rPr>
          <w:rFonts w:ascii="Arial" w:hAnsi="Arial" w:cs="Arial"/>
          <w:sz w:val="24"/>
          <w:szCs w:val="24"/>
        </w:rPr>
      </w:pPr>
      <w:r w:rsidRPr="00424846">
        <w:rPr>
          <w:rFonts w:ascii="Arial" w:hAnsi="Arial" w:cs="Arial"/>
          <w:sz w:val="24"/>
          <w:szCs w:val="24"/>
        </w:rPr>
        <w:t>Furthermore</w:t>
      </w:r>
      <w:r w:rsidR="00E05E7B" w:rsidRPr="00424846">
        <w:rPr>
          <w:rFonts w:ascii="Arial" w:hAnsi="Arial" w:cs="Arial"/>
          <w:sz w:val="24"/>
          <w:szCs w:val="24"/>
        </w:rPr>
        <w:t>, r</w:t>
      </w:r>
      <w:r w:rsidR="00FD7673" w:rsidRPr="00424846">
        <w:rPr>
          <w:rFonts w:ascii="Arial" w:hAnsi="Arial" w:cs="Arial"/>
          <w:sz w:val="24"/>
          <w:szCs w:val="24"/>
        </w:rPr>
        <w:t xml:space="preserve">egarding the infamous Abu Qatada case, he was eventually deported </w:t>
      </w:r>
      <w:r w:rsidR="00D93BFB" w:rsidRPr="00424846">
        <w:rPr>
          <w:rFonts w:ascii="Arial" w:hAnsi="Arial" w:cs="Arial"/>
          <w:sz w:val="24"/>
          <w:szCs w:val="24"/>
        </w:rPr>
        <w:t xml:space="preserve">back to </w:t>
      </w:r>
      <w:r w:rsidR="00FD7673" w:rsidRPr="00424846">
        <w:rPr>
          <w:rFonts w:ascii="Arial" w:hAnsi="Arial" w:cs="Arial"/>
          <w:sz w:val="24"/>
          <w:szCs w:val="24"/>
        </w:rPr>
        <w:t>Jordan</w:t>
      </w:r>
      <w:r w:rsidR="00D93BFB" w:rsidRPr="00424846">
        <w:rPr>
          <w:rFonts w:ascii="Arial" w:hAnsi="Arial" w:cs="Arial"/>
          <w:sz w:val="24"/>
          <w:szCs w:val="24"/>
        </w:rPr>
        <w:t xml:space="preserve"> against the will of the ECtHR and domestic courts</w:t>
      </w:r>
      <w:r w:rsidR="00FD7673" w:rsidRPr="00424846">
        <w:rPr>
          <w:rFonts w:ascii="Arial" w:hAnsi="Arial" w:cs="Arial"/>
          <w:sz w:val="24"/>
          <w:szCs w:val="24"/>
        </w:rPr>
        <w:t>, indicat</w:t>
      </w:r>
      <w:r w:rsidR="00D93BFB" w:rsidRPr="00424846">
        <w:rPr>
          <w:rFonts w:ascii="Arial" w:hAnsi="Arial" w:cs="Arial"/>
          <w:sz w:val="24"/>
          <w:szCs w:val="24"/>
        </w:rPr>
        <w:t>ing</w:t>
      </w:r>
      <w:r w:rsidR="00FD7673" w:rsidRPr="00424846">
        <w:rPr>
          <w:rFonts w:ascii="Arial" w:hAnsi="Arial" w:cs="Arial"/>
          <w:sz w:val="24"/>
          <w:szCs w:val="24"/>
        </w:rPr>
        <w:t xml:space="preserve"> a</w:t>
      </w:r>
      <w:r w:rsidR="00D93BFB" w:rsidRPr="00424846">
        <w:rPr>
          <w:rFonts w:ascii="Arial" w:hAnsi="Arial" w:cs="Arial"/>
          <w:sz w:val="24"/>
          <w:szCs w:val="24"/>
        </w:rPr>
        <w:t xml:space="preserve">n attempt by the state to derogate from </w:t>
      </w:r>
      <w:r w:rsidR="00813618" w:rsidRPr="00424846">
        <w:rPr>
          <w:rFonts w:ascii="Arial" w:hAnsi="Arial" w:cs="Arial"/>
          <w:sz w:val="24"/>
          <w:szCs w:val="24"/>
        </w:rPr>
        <w:t xml:space="preserve">anti-torture </w:t>
      </w:r>
      <w:r w:rsidR="00D93BFB" w:rsidRPr="00424846">
        <w:rPr>
          <w:rFonts w:ascii="Arial" w:hAnsi="Arial" w:cs="Arial"/>
          <w:sz w:val="24"/>
          <w:szCs w:val="24"/>
        </w:rPr>
        <w:t>provisions</w:t>
      </w:r>
      <w:r w:rsidR="00813618" w:rsidRPr="00424846">
        <w:rPr>
          <w:rFonts w:ascii="Arial" w:hAnsi="Arial" w:cs="Arial"/>
          <w:sz w:val="24"/>
          <w:szCs w:val="24"/>
        </w:rPr>
        <w:t xml:space="preserve">, </w:t>
      </w:r>
      <w:r w:rsidR="00F00D0F" w:rsidRPr="00424846">
        <w:rPr>
          <w:rFonts w:ascii="Arial" w:hAnsi="Arial" w:cs="Arial"/>
          <w:sz w:val="24"/>
          <w:szCs w:val="24"/>
        </w:rPr>
        <w:t>for the sake of ‘state security’</w:t>
      </w:r>
      <w:r w:rsidRPr="00424846">
        <w:rPr>
          <w:rStyle w:val="FootnoteReference"/>
          <w:rFonts w:ascii="Arial" w:hAnsi="Arial" w:cs="Arial"/>
          <w:sz w:val="24"/>
          <w:szCs w:val="24"/>
        </w:rPr>
        <w:footnoteReference w:id="68"/>
      </w:r>
      <w:r w:rsidR="00F00D0F" w:rsidRPr="00424846">
        <w:rPr>
          <w:rFonts w:ascii="Arial" w:hAnsi="Arial" w:cs="Arial"/>
          <w:sz w:val="24"/>
          <w:szCs w:val="24"/>
        </w:rPr>
        <w:t xml:space="preserve">. </w:t>
      </w:r>
      <w:r w:rsidRPr="00424846">
        <w:rPr>
          <w:rFonts w:ascii="Arial" w:hAnsi="Arial" w:cs="Arial"/>
          <w:sz w:val="24"/>
          <w:szCs w:val="24"/>
        </w:rPr>
        <w:t xml:space="preserve">       </w:t>
      </w:r>
      <w:r w:rsidR="00F00D0F" w:rsidRPr="00424846">
        <w:rPr>
          <w:rFonts w:ascii="Arial" w:hAnsi="Arial" w:cs="Arial"/>
          <w:sz w:val="24"/>
          <w:szCs w:val="24"/>
        </w:rPr>
        <w:t xml:space="preserve">This </w:t>
      </w:r>
      <w:r w:rsidR="001B54FE" w:rsidRPr="00424846">
        <w:rPr>
          <w:rFonts w:ascii="Arial" w:hAnsi="Arial" w:cs="Arial"/>
          <w:sz w:val="24"/>
          <w:szCs w:val="24"/>
        </w:rPr>
        <w:t>suggests</w:t>
      </w:r>
      <w:r w:rsidR="00F00D0F" w:rsidRPr="00424846">
        <w:rPr>
          <w:rFonts w:ascii="Arial" w:hAnsi="Arial" w:cs="Arial"/>
          <w:sz w:val="24"/>
          <w:szCs w:val="24"/>
        </w:rPr>
        <w:t xml:space="preserve"> that </w:t>
      </w:r>
      <w:r w:rsidR="0092145F" w:rsidRPr="00424846">
        <w:rPr>
          <w:rFonts w:ascii="Arial" w:hAnsi="Arial" w:cs="Arial"/>
          <w:sz w:val="24"/>
          <w:szCs w:val="24"/>
        </w:rPr>
        <w:t>the pendulu</w:t>
      </w:r>
      <w:r w:rsidR="001B54FE" w:rsidRPr="00424846">
        <w:rPr>
          <w:rFonts w:ascii="Arial" w:hAnsi="Arial" w:cs="Arial"/>
          <w:sz w:val="24"/>
          <w:szCs w:val="24"/>
        </w:rPr>
        <w:t xml:space="preserve">m, at least for the </w:t>
      </w:r>
      <w:r w:rsidR="00314E2D" w:rsidRPr="00424846">
        <w:rPr>
          <w:rFonts w:ascii="Arial" w:hAnsi="Arial" w:cs="Arial"/>
          <w:sz w:val="24"/>
          <w:szCs w:val="24"/>
        </w:rPr>
        <w:t>government</w:t>
      </w:r>
      <w:r w:rsidR="001B54FE" w:rsidRPr="00424846">
        <w:rPr>
          <w:rFonts w:ascii="Arial" w:hAnsi="Arial" w:cs="Arial"/>
          <w:sz w:val="24"/>
          <w:szCs w:val="24"/>
        </w:rPr>
        <w:t xml:space="preserve">, </w:t>
      </w:r>
      <w:r w:rsidR="0092145F" w:rsidRPr="00424846">
        <w:rPr>
          <w:rFonts w:ascii="Arial" w:hAnsi="Arial" w:cs="Arial"/>
          <w:sz w:val="24"/>
          <w:szCs w:val="24"/>
        </w:rPr>
        <w:t>has swung away</w:t>
      </w:r>
      <w:r w:rsidR="00F00D0F" w:rsidRPr="00424846">
        <w:rPr>
          <w:rFonts w:ascii="Arial" w:hAnsi="Arial" w:cs="Arial"/>
          <w:sz w:val="24"/>
          <w:szCs w:val="24"/>
        </w:rPr>
        <w:t xml:space="preserve"> </w:t>
      </w:r>
      <w:r w:rsidR="0092145F" w:rsidRPr="00424846">
        <w:rPr>
          <w:rFonts w:ascii="Arial" w:hAnsi="Arial" w:cs="Arial"/>
          <w:sz w:val="24"/>
          <w:szCs w:val="24"/>
        </w:rPr>
        <w:t>from</w:t>
      </w:r>
      <w:r w:rsidRPr="00424846">
        <w:rPr>
          <w:rFonts w:ascii="Arial" w:hAnsi="Arial" w:cs="Arial"/>
          <w:sz w:val="24"/>
          <w:szCs w:val="24"/>
        </w:rPr>
        <w:t xml:space="preserve">, </w:t>
      </w:r>
      <w:r w:rsidR="0092145F" w:rsidRPr="00424846">
        <w:rPr>
          <w:rFonts w:ascii="Arial" w:hAnsi="Arial" w:cs="Arial"/>
          <w:sz w:val="24"/>
          <w:szCs w:val="24"/>
        </w:rPr>
        <w:lastRenderedPageBreak/>
        <w:t xml:space="preserve">protecting individuals </w:t>
      </w:r>
      <w:r w:rsidR="00F00D0F" w:rsidRPr="00424846">
        <w:rPr>
          <w:rFonts w:ascii="Arial" w:hAnsi="Arial" w:cs="Arial"/>
          <w:sz w:val="24"/>
          <w:szCs w:val="24"/>
        </w:rPr>
        <w:t xml:space="preserve">from torture and </w:t>
      </w:r>
      <w:r w:rsidR="001B54FE" w:rsidRPr="00424846">
        <w:rPr>
          <w:rFonts w:ascii="Arial" w:hAnsi="Arial" w:cs="Arial"/>
          <w:sz w:val="24"/>
          <w:szCs w:val="24"/>
        </w:rPr>
        <w:t xml:space="preserve">preserving </w:t>
      </w:r>
      <w:r w:rsidR="00F00D0F" w:rsidRPr="00424846">
        <w:rPr>
          <w:rFonts w:ascii="Arial" w:hAnsi="Arial" w:cs="Arial"/>
          <w:sz w:val="24"/>
          <w:szCs w:val="24"/>
        </w:rPr>
        <w:t xml:space="preserve">their </w:t>
      </w:r>
      <w:r w:rsidR="0092145F" w:rsidRPr="00424846">
        <w:rPr>
          <w:rFonts w:ascii="Arial" w:hAnsi="Arial" w:cs="Arial"/>
          <w:sz w:val="24"/>
          <w:szCs w:val="24"/>
        </w:rPr>
        <w:t>right to a fair trial</w:t>
      </w:r>
      <w:r w:rsidR="00F00D0F" w:rsidRPr="00424846">
        <w:rPr>
          <w:rFonts w:ascii="Arial" w:hAnsi="Arial" w:cs="Arial"/>
          <w:sz w:val="24"/>
          <w:szCs w:val="24"/>
        </w:rPr>
        <w:t xml:space="preserve">, </w:t>
      </w:r>
      <w:r w:rsidR="001B54FE" w:rsidRPr="00424846">
        <w:rPr>
          <w:rFonts w:ascii="Arial" w:hAnsi="Arial" w:cs="Arial"/>
          <w:sz w:val="24"/>
          <w:szCs w:val="24"/>
        </w:rPr>
        <w:t xml:space="preserve">and more </w:t>
      </w:r>
      <w:r w:rsidR="0092145F" w:rsidRPr="00424846">
        <w:rPr>
          <w:rFonts w:ascii="Arial" w:hAnsi="Arial" w:cs="Arial"/>
          <w:sz w:val="24"/>
          <w:szCs w:val="24"/>
        </w:rPr>
        <w:t>towards</w:t>
      </w:r>
      <w:r w:rsidR="00F00D0F" w:rsidRPr="00424846">
        <w:rPr>
          <w:rFonts w:ascii="Arial" w:hAnsi="Arial" w:cs="Arial"/>
          <w:sz w:val="24"/>
          <w:szCs w:val="24"/>
        </w:rPr>
        <w:t xml:space="preserve">, </w:t>
      </w:r>
      <w:r w:rsidRPr="00424846">
        <w:rPr>
          <w:rFonts w:ascii="Arial" w:hAnsi="Arial" w:cs="Arial"/>
          <w:sz w:val="24"/>
          <w:szCs w:val="24"/>
        </w:rPr>
        <w:t xml:space="preserve">prioritising the </w:t>
      </w:r>
      <w:r w:rsidR="0092145F" w:rsidRPr="00424846">
        <w:rPr>
          <w:rFonts w:ascii="Arial" w:hAnsi="Arial" w:cs="Arial"/>
          <w:sz w:val="24"/>
          <w:szCs w:val="24"/>
        </w:rPr>
        <w:t>protecti</w:t>
      </w:r>
      <w:r w:rsidRPr="00424846">
        <w:rPr>
          <w:rFonts w:ascii="Arial" w:hAnsi="Arial" w:cs="Arial"/>
          <w:sz w:val="24"/>
          <w:szCs w:val="24"/>
        </w:rPr>
        <w:t>on of</w:t>
      </w:r>
      <w:r w:rsidR="0092145F" w:rsidRPr="00424846">
        <w:rPr>
          <w:rFonts w:ascii="Arial" w:hAnsi="Arial" w:cs="Arial"/>
          <w:sz w:val="24"/>
          <w:szCs w:val="24"/>
        </w:rPr>
        <w:t xml:space="preserve"> the </w:t>
      </w:r>
      <w:r w:rsidR="00E51919" w:rsidRPr="00424846">
        <w:rPr>
          <w:rFonts w:ascii="Arial" w:hAnsi="Arial" w:cs="Arial"/>
          <w:sz w:val="24"/>
          <w:szCs w:val="24"/>
        </w:rPr>
        <w:t>state</w:t>
      </w:r>
      <w:r w:rsidR="0092145F" w:rsidRPr="00424846">
        <w:rPr>
          <w:rFonts w:ascii="Arial" w:hAnsi="Arial" w:cs="Arial"/>
          <w:sz w:val="24"/>
          <w:szCs w:val="24"/>
        </w:rPr>
        <w:t xml:space="preserve"> from t</w:t>
      </w:r>
      <w:r w:rsidR="00E51919" w:rsidRPr="00424846">
        <w:rPr>
          <w:rFonts w:ascii="Arial" w:hAnsi="Arial" w:cs="Arial"/>
          <w:sz w:val="24"/>
          <w:szCs w:val="24"/>
        </w:rPr>
        <w:t>he suspect</w:t>
      </w:r>
      <w:r w:rsidRPr="00424846">
        <w:rPr>
          <w:rFonts w:ascii="Arial" w:hAnsi="Arial" w:cs="Arial"/>
          <w:sz w:val="24"/>
          <w:szCs w:val="24"/>
        </w:rPr>
        <w:t xml:space="preserve">. </w:t>
      </w:r>
      <w:r w:rsidR="004B141A" w:rsidRPr="00424846">
        <w:rPr>
          <w:rFonts w:ascii="Arial" w:hAnsi="Arial" w:cs="Arial"/>
          <w:sz w:val="24"/>
          <w:szCs w:val="24"/>
        </w:rPr>
        <w:t xml:space="preserve"> </w:t>
      </w:r>
      <w:r w:rsidRPr="00424846">
        <w:rPr>
          <w:rFonts w:ascii="Arial" w:hAnsi="Arial" w:cs="Arial"/>
          <w:sz w:val="24"/>
          <w:szCs w:val="24"/>
        </w:rPr>
        <w:t>L</w:t>
      </w:r>
      <w:r w:rsidR="00AF3DEE" w:rsidRPr="00424846">
        <w:rPr>
          <w:rFonts w:ascii="Arial" w:hAnsi="Arial" w:cs="Arial"/>
          <w:sz w:val="24"/>
          <w:szCs w:val="24"/>
        </w:rPr>
        <w:t>ikewise</w:t>
      </w:r>
      <w:r w:rsidR="00E51919" w:rsidRPr="00424846">
        <w:rPr>
          <w:rFonts w:ascii="Arial" w:hAnsi="Arial" w:cs="Arial"/>
          <w:sz w:val="24"/>
          <w:szCs w:val="24"/>
        </w:rPr>
        <w:t xml:space="preserve">, </w:t>
      </w:r>
      <w:r w:rsidR="00F00D0F" w:rsidRPr="00424846">
        <w:rPr>
          <w:rFonts w:ascii="Arial" w:hAnsi="Arial" w:cs="Arial"/>
          <w:sz w:val="24"/>
          <w:szCs w:val="24"/>
        </w:rPr>
        <w:t xml:space="preserve"> the </w:t>
      </w:r>
      <w:r w:rsidR="00E51919" w:rsidRPr="00424846">
        <w:rPr>
          <w:rFonts w:ascii="Arial" w:hAnsi="Arial" w:cs="Arial"/>
          <w:sz w:val="24"/>
          <w:szCs w:val="24"/>
        </w:rPr>
        <w:t>S</w:t>
      </w:r>
      <w:r w:rsidR="00F00D0F" w:rsidRPr="00424846">
        <w:rPr>
          <w:rFonts w:ascii="Arial" w:hAnsi="Arial" w:cs="Arial"/>
          <w:sz w:val="24"/>
          <w:szCs w:val="24"/>
        </w:rPr>
        <w:t xml:space="preserve">ecretary of </w:t>
      </w:r>
      <w:r w:rsidR="00E51919" w:rsidRPr="00424846">
        <w:rPr>
          <w:rFonts w:ascii="Arial" w:hAnsi="Arial" w:cs="Arial"/>
          <w:sz w:val="24"/>
          <w:szCs w:val="24"/>
        </w:rPr>
        <w:t>S</w:t>
      </w:r>
      <w:r w:rsidR="00F00D0F" w:rsidRPr="00424846">
        <w:rPr>
          <w:rFonts w:ascii="Arial" w:hAnsi="Arial" w:cs="Arial"/>
          <w:sz w:val="24"/>
          <w:szCs w:val="24"/>
        </w:rPr>
        <w:t>tate argued</w:t>
      </w:r>
      <w:r w:rsidR="0092145F" w:rsidRPr="00424846">
        <w:rPr>
          <w:rFonts w:ascii="Arial" w:hAnsi="Arial" w:cs="Arial"/>
          <w:sz w:val="24"/>
          <w:szCs w:val="24"/>
        </w:rPr>
        <w:t xml:space="preserve"> </w:t>
      </w:r>
      <w:r w:rsidR="00F00D0F" w:rsidRPr="00424846">
        <w:rPr>
          <w:rFonts w:ascii="Arial" w:hAnsi="Arial" w:cs="Arial"/>
          <w:sz w:val="24"/>
          <w:szCs w:val="24"/>
        </w:rPr>
        <w:t xml:space="preserve">in favour of </w:t>
      </w:r>
      <w:r w:rsidR="0092145F" w:rsidRPr="00424846">
        <w:rPr>
          <w:rFonts w:ascii="Arial" w:hAnsi="Arial" w:cs="Arial"/>
          <w:sz w:val="24"/>
          <w:szCs w:val="24"/>
        </w:rPr>
        <w:t>deport</w:t>
      </w:r>
      <w:r w:rsidR="00F00D0F" w:rsidRPr="00424846">
        <w:rPr>
          <w:rFonts w:ascii="Arial" w:hAnsi="Arial" w:cs="Arial"/>
          <w:sz w:val="24"/>
          <w:szCs w:val="24"/>
        </w:rPr>
        <w:t>ation,</w:t>
      </w:r>
      <w:r w:rsidR="0092145F" w:rsidRPr="00424846">
        <w:rPr>
          <w:rFonts w:ascii="Arial" w:hAnsi="Arial" w:cs="Arial"/>
          <w:sz w:val="24"/>
          <w:szCs w:val="24"/>
        </w:rPr>
        <w:t xml:space="preserve"> because </w:t>
      </w:r>
      <w:r w:rsidR="00F00D0F" w:rsidRPr="00424846">
        <w:rPr>
          <w:rFonts w:ascii="Arial" w:hAnsi="Arial" w:cs="Arial"/>
          <w:sz w:val="24"/>
          <w:szCs w:val="24"/>
        </w:rPr>
        <w:t xml:space="preserve">it </w:t>
      </w:r>
      <w:r w:rsidR="00C51861" w:rsidRPr="00424846">
        <w:rPr>
          <w:rFonts w:ascii="Arial" w:hAnsi="Arial" w:cs="Arial"/>
          <w:sz w:val="24"/>
          <w:szCs w:val="24"/>
        </w:rPr>
        <w:t>was</w:t>
      </w:r>
      <w:r w:rsidR="00F00D0F" w:rsidRPr="00424846">
        <w:rPr>
          <w:rFonts w:ascii="Arial" w:hAnsi="Arial" w:cs="Arial"/>
          <w:sz w:val="24"/>
          <w:szCs w:val="24"/>
        </w:rPr>
        <w:t xml:space="preserve"> safer for the </w:t>
      </w:r>
      <w:r w:rsidR="004B141A" w:rsidRPr="00424846">
        <w:rPr>
          <w:rFonts w:ascii="Arial" w:hAnsi="Arial" w:cs="Arial"/>
          <w:sz w:val="24"/>
          <w:szCs w:val="24"/>
        </w:rPr>
        <w:t>state</w:t>
      </w:r>
      <w:r w:rsidR="00F00D0F" w:rsidRPr="00424846">
        <w:rPr>
          <w:rFonts w:ascii="Arial" w:hAnsi="Arial" w:cs="Arial"/>
          <w:sz w:val="24"/>
          <w:szCs w:val="24"/>
        </w:rPr>
        <w:t xml:space="preserve"> than keeping him</w:t>
      </w:r>
      <w:r w:rsidR="00D224BC" w:rsidRPr="00424846">
        <w:rPr>
          <w:rStyle w:val="FootnoteReference"/>
          <w:rFonts w:ascii="Arial" w:hAnsi="Arial" w:cs="Arial"/>
          <w:sz w:val="24"/>
          <w:szCs w:val="24"/>
        </w:rPr>
        <w:footnoteReference w:id="69"/>
      </w:r>
      <w:r w:rsidR="004B2A9F" w:rsidRPr="00424846">
        <w:rPr>
          <w:rFonts w:ascii="Arial" w:hAnsi="Arial" w:cs="Arial"/>
          <w:sz w:val="24"/>
          <w:szCs w:val="24"/>
        </w:rPr>
        <w:t xml:space="preserve">. </w:t>
      </w:r>
      <w:r w:rsidR="00B07442" w:rsidRPr="00424846">
        <w:rPr>
          <w:rFonts w:ascii="Arial" w:hAnsi="Arial" w:cs="Arial"/>
          <w:sz w:val="24"/>
          <w:szCs w:val="24"/>
        </w:rPr>
        <w:t>But, p</w:t>
      </w:r>
      <w:r w:rsidR="004B2A9F" w:rsidRPr="00424846">
        <w:rPr>
          <w:rFonts w:ascii="Arial" w:hAnsi="Arial" w:cs="Arial"/>
          <w:sz w:val="24"/>
          <w:szCs w:val="24"/>
        </w:rPr>
        <w:t xml:space="preserve">erhaps, this decision was </w:t>
      </w:r>
      <w:r w:rsidR="004B141A" w:rsidRPr="00424846">
        <w:rPr>
          <w:rFonts w:ascii="Arial" w:hAnsi="Arial" w:cs="Arial"/>
          <w:sz w:val="24"/>
          <w:szCs w:val="24"/>
        </w:rPr>
        <w:t xml:space="preserve">further </w:t>
      </w:r>
      <w:r w:rsidR="004B2A9F" w:rsidRPr="00424846">
        <w:rPr>
          <w:rFonts w:ascii="Arial" w:hAnsi="Arial" w:cs="Arial"/>
          <w:sz w:val="24"/>
          <w:szCs w:val="24"/>
        </w:rPr>
        <w:t xml:space="preserve">influenced </w:t>
      </w:r>
      <w:r w:rsidR="00E05E7B" w:rsidRPr="00424846">
        <w:rPr>
          <w:rFonts w:ascii="Arial" w:hAnsi="Arial" w:cs="Arial"/>
          <w:sz w:val="24"/>
          <w:szCs w:val="24"/>
        </w:rPr>
        <w:t xml:space="preserve">by the pressure to protect </w:t>
      </w:r>
      <w:r w:rsidR="004B141A" w:rsidRPr="00424846">
        <w:rPr>
          <w:rFonts w:ascii="Arial" w:hAnsi="Arial" w:cs="Arial"/>
          <w:sz w:val="24"/>
          <w:szCs w:val="24"/>
        </w:rPr>
        <w:t xml:space="preserve">the public </w:t>
      </w:r>
      <w:r w:rsidR="00E05E7B" w:rsidRPr="00424846">
        <w:rPr>
          <w:rFonts w:ascii="Arial" w:hAnsi="Arial" w:cs="Arial"/>
          <w:sz w:val="24"/>
          <w:szCs w:val="24"/>
        </w:rPr>
        <w:t xml:space="preserve">from the persuasion of a radical preacher, especially in light of the war on terror, pushing the </w:t>
      </w:r>
      <w:r w:rsidR="00D86CA4" w:rsidRPr="00424846">
        <w:rPr>
          <w:rFonts w:ascii="Arial" w:hAnsi="Arial" w:cs="Arial"/>
          <w:sz w:val="24"/>
          <w:szCs w:val="24"/>
        </w:rPr>
        <w:t xml:space="preserve">Special Immigration Appeals Commission (SIAC) </w:t>
      </w:r>
      <w:r w:rsidR="00E05E7B" w:rsidRPr="00424846">
        <w:rPr>
          <w:rFonts w:ascii="Arial" w:hAnsi="Arial" w:cs="Arial"/>
          <w:sz w:val="24"/>
          <w:szCs w:val="24"/>
        </w:rPr>
        <w:t>to weigh up his right to a fair trial, against, public safety and security, concluding that, state security superseded his right</w:t>
      </w:r>
      <w:r w:rsidR="004B141A" w:rsidRPr="00424846">
        <w:rPr>
          <w:rFonts w:ascii="Arial" w:hAnsi="Arial" w:cs="Arial"/>
          <w:sz w:val="24"/>
          <w:szCs w:val="24"/>
        </w:rPr>
        <w:t>s</w:t>
      </w:r>
      <w:r w:rsidR="00B07442" w:rsidRPr="00424846">
        <w:rPr>
          <w:rFonts w:ascii="Arial" w:hAnsi="Arial" w:cs="Arial"/>
          <w:sz w:val="24"/>
          <w:szCs w:val="24"/>
        </w:rPr>
        <w:t>. Resulting, in</w:t>
      </w:r>
      <w:r w:rsidR="00E05E7B" w:rsidRPr="00424846">
        <w:rPr>
          <w:rFonts w:ascii="Arial" w:hAnsi="Arial" w:cs="Arial"/>
          <w:sz w:val="24"/>
          <w:szCs w:val="24"/>
        </w:rPr>
        <w:t xml:space="preserve"> the state rely</w:t>
      </w:r>
      <w:r w:rsidR="00B07442" w:rsidRPr="00424846">
        <w:rPr>
          <w:rFonts w:ascii="Arial" w:hAnsi="Arial" w:cs="Arial"/>
          <w:sz w:val="24"/>
          <w:szCs w:val="24"/>
        </w:rPr>
        <w:t>ing</w:t>
      </w:r>
      <w:r w:rsidR="00E05E7B" w:rsidRPr="00424846">
        <w:rPr>
          <w:rFonts w:ascii="Arial" w:hAnsi="Arial" w:cs="Arial"/>
          <w:sz w:val="24"/>
          <w:szCs w:val="24"/>
        </w:rPr>
        <w:t xml:space="preserve"> on a </w:t>
      </w:r>
      <w:r w:rsidR="00B07442" w:rsidRPr="00424846">
        <w:rPr>
          <w:rFonts w:ascii="Arial" w:hAnsi="Arial" w:cs="Arial"/>
          <w:sz w:val="24"/>
          <w:szCs w:val="24"/>
        </w:rPr>
        <w:t>memorandum of understanding</w:t>
      </w:r>
      <w:r w:rsidR="002C72C1" w:rsidRPr="00424846">
        <w:rPr>
          <w:rFonts w:ascii="Arial" w:hAnsi="Arial" w:cs="Arial"/>
          <w:sz w:val="24"/>
          <w:szCs w:val="24"/>
        </w:rPr>
        <w:t xml:space="preserve"> (MoU)</w:t>
      </w:r>
      <w:r w:rsidR="00B07442" w:rsidRPr="00424846">
        <w:rPr>
          <w:rFonts w:ascii="Arial" w:hAnsi="Arial" w:cs="Arial"/>
          <w:sz w:val="24"/>
          <w:szCs w:val="24"/>
        </w:rPr>
        <w:t>,</w:t>
      </w:r>
      <w:r w:rsidR="00E05E7B" w:rsidRPr="00424846">
        <w:rPr>
          <w:rFonts w:ascii="Arial" w:hAnsi="Arial" w:cs="Arial"/>
          <w:sz w:val="24"/>
          <w:szCs w:val="24"/>
        </w:rPr>
        <w:t xml:space="preserve"> as an unconvincing substitute, to fulfil their obligation of securing a fair trial</w:t>
      </w:r>
      <w:r w:rsidR="004B141A" w:rsidRPr="00424846">
        <w:rPr>
          <w:rStyle w:val="FootnoteReference"/>
          <w:rFonts w:ascii="Arial" w:hAnsi="Arial" w:cs="Arial"/>
          <w:sz w:val="24"/>
          <w:szCs w:val="24"/>
        </w:rPr>
        <w:footnoteReference w:id="70"/>
      </w:r>
      <w:r w:rsidR="00E05E7B" w:rsidRPr="00424846">
        <w:rPr>
          <w:rFonts w:ascii="Arial" w:hAnsi="Arial" w:cs="Arial"/>
          <w:sz w:val="24"/>
          <w:szCs w:val="24"/>
        </w:rPr>
        <w:t>.</w:t>
      </w:r>
      <w:r w:rsidR="002C72C1" w:rsidRPr="00424846">
        <w:rPr>
          <w:rFonts w:ascii="Arial" w:hAnsi="Arial" w:cs="Arial"/>
          <w:sz w:val="24"/>
          <w:szCs w:val="24"/>
        </w:rPr>
        <w:t xml:space="preserve"> </w:t>
      </w:r>
      <w:r w:rsidR="00B47FDE" w:rsidRPr="00424846">
        <w:rPr>
          <w:rFonts w:ascii="Arial" w:hAnsi="Arial" w:cs="Arial"/>
          <w:sz w:val="24"/>
          <w:szCs w:val="24"/>
        </w:rPr>
        <w:t xml:space="preserve">     </w:t>
      </w:r>
      <w:r w:rsidR="00F00D0F" w:rsidRPr="00424846">
        <w:rPr>
          <w:rFonts w:ascii="Arial" w:hAnsi="Arial" w:cs="Arial"/>
          <w:sz w:val="24"/>
          <w:szCs w:val="24"/>
        </w:rPr>
        <w:t>T</w:t>
      </w:r>
      <w:r w:rsidR="00D87F0F" w:rsidRPr="00424846">
        <w:rPr>
          <w:rFonts w:ascii="Arial" w:hAnsi="Arial" w:cs="Arial"/>
          <w:sz w:val="24"/>
          <w:szCs w:val="24"/>
        </w:rPr>
        <w:t>urn</w:t>
      </w:r>
      <w:r w:rsidR="00B47FDE" w:rsidRPr="00424846">
        <w:rPr>
          <w:rFonts w:ascii="Arial" w:hAnsi="Arial" w:cs="Arial"/>
          <w:sz w:val="24"/>
          <w:szCs w:val="24"/>
        </w:rPr>
        <w:t>ing</w:t>
      </w:r>
      <w:r w:rsidR="004B2A9F" w:rsidRPr="00424846">
        <w:rPr>
          <w:rFonts w:ascii="Arial" w:hAnsi="Arial" w:cs="Arial"/>
          <w:sz w:val="24"/>
          <w:szCs w:val="24"/>
        </w:rPr>
        <w:t xml:space="preserve"> the State </w:t>
      </w:r>
      <w:r w:rsidR="00D87F0F" w:rsidRPr="00424846">
        <w:rPr>
          <w:rFonts w:ascii="Arial" w:hAnsi="Arial" w:cs="Arial"/>
          <w:sz w:val="24"/>
          <w:szCs w:val="24"/>
        </w:rPr>
        <w:t xml:space="preserve">into </w:t>
      </w:r>
      <w:r w:rsidR="004B2A9F" w:rsidRPr="00424846">
        <w:rPr>
          <w:rFonts w:ascii="Arial" w:hAnsi="Arial" w:cs="Arial"/>
          <w:sz w:val="24"/>
          <w:szCs w:val="24"/>
        </w:rPr>
        <w:t>corroborators that enable torture</w:t>
      </w:r>
      <w:r w:rsidR="00D86CA4" w:rsidRPr="00424846">
        <w:rPr>
          <w:rFonts w:ascii="Arial" w:hAnsi="Arial" w:cs="Arial"/>
          <w:sz w:val="24"/>
          <w:szCs w:val="24"/>
        </w:rPr>
        <w:t xml:space="preserve"> in other countries</w:t>
      </w:r>
      <w:r w:rsidR="00D87F0F" w:rsidRPr="00424846">
        <w:rPr>
          <w:rFonts w:ascii="Arial" w:hAnsi="Arial" w:cs="Arial"/>
          <w:sz w:val="24"/>
          <w:szCs w:val="24"/>
        </w:rPr>
        <w:t xml:space="preserve">. </w:t>
      </w:r>
    </w:p>
    <w:p w14:paraId="12E87F89" w14:textId="5D963AA7" w:rsidR="001E214B" w:rsidRPr="00424846" w:rsidRDefault="00D87F0F" w:rsidP="00862139">
      <w:pPr>
        <w:spacing w:line="480" w:lineRule="auto"/>
        <w:jc w:val="both"/>
        <w:rPr>
          <w:rFonts w:ascii="Arial" w:hAnsi="Arial" w:cs="Arial"/>
          <w:sz w:val="24"/>
          <w:szCs w:val="24"/>
        </w:rPr>
      </w:pPr>
      <w:r w:rsidRPr="00424846">
        <w:rPr>
          <w:rFonts w:ascii="Arial" w:hAnsi="Arial" w:cs="Arial"/>
          <w:sz w:val="24"/>
          <w:szCs w:val="24"/>
        </w:rPr>
        <w:t xml:space="preserve">Fortunately, making the courts </w:t>
      </w:r>
      <w:r w:rsidR="00D86CA4" w:rsidRPr="00424846">
        <w:rPr>
          <w:rFonts w:ascii="Arial" w:hAnsi="Arial" w:cs="Arial"/>
          <w:sz w:val="24"/>
          <w:szCs w:val="24"/>
        </w:rPr>
        <w:t>the only protecti</w:t>
      </w:r>
      <w:r w:rsidRPr="00424846">
        <w:rPr>
          <w:rFonts w:ascii="Arial" w:hAnsi="Arial" w:cs="Arial"/>
          <w:sz w:val="24"/>
          <w:szCs w:val="24"/>
        </w:rPr>
        <w:t>ve shield</w:t>
      </w:r>
      <w:r w:rsidR="00314E2D" w:rsidRPr="00424846">
        <w:rPr>
          <w:rFonts w:ascii="Arial" w:hAnsi="Arial" w:cs="Arial"/>
          <w:sz w:val="24"/>
          <w:szCs w:val="24"/>
        </w:rPr>
        <w:t xml:space="preserve"> for people</w:t>
      </w:r>
      <w:r w:rsidR="00D63408" w:rsidRPr="00424846">
        <w:rPr>
          <w:rFonts w:ascii="Arial" w:hAnsi="Arial" w:cs="Arial"/>
          <w:sz w:val="24"/>
          <w:szCs w:val="24"/>
        </w:rPr>
        <w:t xml:space="preserve"> </w:t>
      </w:r>
      <w:r w:rsidR="004B141A" w:rsidRPr="00424846">
        <w:rPr>
          <w:rFonts w:ascii="Arial" w:hAnsi="Arial" w:cs="Arial"/>
          <w:sz w:val="24"/>
          <w:szCs w:val="24"/>
        </w:rPr>
        <w:t xml:space="preserve">to rely on, </w:t>
      </w:r>
      <w:r w:rsidR="00D86CA4" w:rsidRPr="00424846">
        <w:rPr>
          <w:rFonts w:ascii="Arial" w:hAnsi="Arial" w:cs="Arial"/>
          <w:sz w:val="24"/>
          <w:szCs w:val="24"/>
        </w:rPr>
        <w:t>against the government</w:t>
      </w:r>
      <w:r w:rsidRPr="00424846">
        <w:rPr>
          <w:rFonts w:ascii="Arial" w:hAnsi="Arial" w:cs="Arial"/>
          <w:sz w:val="24"/>
          <w:szCs w:val="24"/>
        </w:rPr>
        <w:t xml:space="preserve">. </w:t>
      </w:r>
      <w:r w:rsidR="00314E2D" w:rsidRPr="00424846">
        <w:rPr>
          <w:rFonts w:ascii="Arial" w:hAnsi="Arial" w:cs="Arial"/>
          <w:sz w:val="24"/>
          <w:szCs w:val="24"/>
        </w:rPr>
        <w:t xml:space="preserve">This is indicated in </w:t>
      </w:r>
      <w:r w:rsidR="002C72C1" w:rsidRPr="00424846">
        <w:rPr>
          <w:rFonts w:ascii="Arial" w:hAnsi="Arial" w:cs="Arial"/>
          <w:sz w:val="24"/>
          <w:szCs w:val="24"/>
        </w:rPr>
        <w:t xml:space="preserve">the appeal of the case of </w:t>
      </w:r>
      <w:bookmarkStart w:id="42" w:name="_Hlk36154024"/>
      <w:r w:rsidR="009731D5" w:rsidRPr="00424846">
        <w:rPr>
          <w:rFonts w:ascii="Arial" w:hAnsi="Arial" w:cs="Arial"/>
          <w:sz w:val="24"/>
          <w:szCs w:val="24"/>
        </w:rPr>
        <w:t>A and others v Secretary of State for Home Department</w:t>
      </w:r>
      <w:bookmarkEnd w:id="42"/>
      <w:r w:rsidR="002C72C1" w:rsidRPr="00424846">
        <w:rPr>
          <w:rStyle w:val="FootnoteReference"/>
          <w:rFonts w:ascii="Arial" w:hAnsi="Arial" w:cs="Arial"/>
          <w:sz w:val="24"/>
          <w:szCs w:val="24"/>
        </w:rPr>
        <w:footnoteReference w:id="71"/>
      </w:r>
      <w:r w:rsidR="009731D5" w:rsidRPr="00424846">
        <w:rPr>
          <w:rFonts w:ascii="Arial" w:hAnsi="Arial" w:cs="Arial"/>
          <w:sz w:val="24"/>
          <w:szCs w:val="24"/>
        </w:rPr>
        <w:t>,</w:t>
      </w:r>
      <w:r w:rsidR="006B4072" w:rsidRPr="00424846">
        <w:rPr>
          <w:rFonts w:ascii="Arial" w:hAnsi="Arial" w:cs="Arial"/>
          <w:sz w:val="24"/>
          <w:szCs w:val="24"/>
        </w:rPr>
        <w:t xml:space="preserve"> </w:t>
      </w:r>
      <w:r w:rsidR="00D86CA4" w:rsidRPr="00424846">
        <w:rPr>
          <w:rFonts w:ascii="Arial" w:hAnsi="Arial" w:cs="Arial"/>
          <w:sz w:val="24"/>
          <w:szCs w:val="24"/>
        </w:rPr>
        <w:t xml:space="preserve">where </w:t>
      </w:r>
      <w:r w:rsidR="006B4072" w:rsidRPr="00424846">
        <w:rPr>
          <w:rFonts w:ascii="Arial" w:hAnsi="Arial" w:cs="Arial"/>
          <w:sz w:val="24"/>
          <w:szCs w:val="24"/>
        </w:rPr>
        <w:t xml:space="preserve">Lord Hoffmann </w:t>
      </w:r>
      <w:r w:rsidR="00D86CA4" w:rsidRPr="00424846">
        <w:rPr>
          <w:rFonts w:ascii="Arial" w:hAnsi="Arial" w:cs="Arial"/>
          <w:sz w:val="24"/>
          <w:szCs w:val="24"/>
        </w:rPr>
        <w:t xml:space="preserve">dismissed the government’s argument, that it </w:t>
      </w:r>
      <w:r w:rsidR="00C67E0E" w:rsidRPr="00424846">
        <w:rPr>
          <w:rFonts w:ascii="Arial" w:hAnsi="Arial" w:cs="Arial"/>
          <w:sz w:val="24"/>
          <w:szCs w:val="24"/>
        </w:rPr>
        <w:t>was</w:t>
      </w:r>
      <w:r w:rsidR="00D86CA4" w:rsidRPr="00424846">
        <w:rPr>
          <w:rFonts w:ascii="Arial" w:hAnsi="Arial" w:cs="Arial"/>
          <w:sz w:val="24"/>
          <w:szCs w:val="24"/>
        </w:rPr>
        <w:t xml:space="preserve"> permissible for the HRA and ECHR to be derogated in circumstances that ‘threaten the life of the nation’, to which Lord Hoffman </w:t>
      </w:r>
      <w:r w:rsidR="00C67E0E" w:rsidRPr="00424846">
        <w:rPr>
          <w:rFonts w:ascii="Arial" w:hAnsi="Arial" w:cs="Arial"/>
          <w:sz w:val="24"/>
          <w:szCs w:val="24"/>
        </w:rPr>
        <w:t>argued</w:t>
      </w:r>
      <w:r w:rsidR="00314E2D" w:rsidRPr="00424846">
        <w:rPr>
          <w:rFonts w:ascii="Arial" w:hAnsi="Arial" w:cs="Arial"/>
          <w:sz w:val="24"/>
          <w:szCs w:val="24"/>
        </w:rPr>
        <w:t xml:space="preserve">, </w:t>
      </w:r>
      <w:r w:rsidR="00C67E0E" w:rsidRPr="00424846">
        <w:rPr>
          <w:rFonts w:ascii="Arial" w:hAnsi="Arial" w:cs="Arial"/>
          <w:sz w:val="24"/>
          <w:szCs w:val="24"/>
        </w:rPr>
        <w:t>was</w:t>
      </w:r>
      <w:r w:rsidR="00D86CA4" w:rsidRPr="00424846">
        <w:rPr>
          <w:rFonts w:ascii="Arial" w:hAnsi="Arial" w:cs="Arial"/>
          <w:sz w:val="24"/>
          <w:szCs w:val="24"/>
        </w:rPr>
        <w:t xml:space="preserve"> not fulfilled in this instance</w:t>
      </w:r>
      <w:r w:rsidR="00D63408" w:rsidRPr="00424846">
        <w:rPr>
          <w:rFonts w:ascii="Arial" w:hAnsi="Arial" w:cs="Arial"/>
          <w:sz w:val="24"/>
          <w:szCs w:val="24"/>
        </w:rPr>
        <w:t xml:space="preserve"> and was impermissible</w:t>
      </w:r>
      <w:r w:rsidRPr="00424846">
        <w:rPr>
          <w:rFonts w:ascii="Arial" w:hAnsi="Arial" w:cs="Arial"/>
          <w:sz w:val="24"/>
          <w:szCs w:val="24"/>
        </w:rPr>
        <w:t xml:space="preserve">, </w:t>
      </w:r>
      <w:r w:rsidR="00400BFC" w:rsidRPr="00424846">
        <w:rPr>
          <w:rFonts w:ascii="Arial" w:hAnsi="Arial" w:cs="Arial"/>
          <w:sz w:val="24"/>
          <w:szCs w:val="24"/>
        </w:rPr>
        <w:t>rendering</w:t>
      </w:r>
      <w:r w:rsidR="00C67E0E" w:rsidRPr="00424846">
        <w:rPr>
          <w:rFonts w:ascii="Arial" w:hAnsi="Arial" w:cs="Arial"/>
          <w:sz w:val="24"/>
          <w:szCs w:val="24"/>
        </w:rPr>
        <w:t xml:space="preserve"> the government</w:t>
      </w:r>
      <w:r w:rsidR="00314E2D" w:rsidRPr="00424846">
        <w:rPr>
          <w:rFonts w:ascii="Arial" w:hAnsi="Arial" w:cs="Arial"/>
          <w:sz w:val="24"/>
          <w:szCs w:val="24"/>
        </w:rPr>
        <w:t>’</w:t>
      </w:r>
      <w:r w:rsidR="00C67E0E" w:rsidRPr="00424846">
        <w:rPr>
          <w:rFonts w:ascii="Arial" w:hAnsi="Arial" w:cs="Arial"/>
          <w:sz w:val="24"/>
          <w:szCs w:val="24"/>
        </w:rPr>
        <w:t>s act</w:t>
      </w:r>
      <w:r w:rsidR="00400BFC" w:rsidRPr="00424846">
        <w:rPr>
          <w:rFonts w:ascii="Arial" w:hAnsi="Arial" w:cs="Arial"/>
          <w:sz w:val="24"/>
          <w:szCs w:val="24"/>
        </w:rPr>
        <w:t>,</w:t>
      </w:r>
      <w:r w:rsidR="00C67E0E" w:rsidRPr="00424846">
        <w:rPr>
          <w:rFonts w:ascii="Arial" w:hAnsi="Arial" w:cs="Arial"/>
          <w:sz w:val="24"/>
          <w:szCs w:val="24"/>
        </w:rPr>
        <w:t xml:space="preserve"> unconstitutional</w:t>
      </w:r>
      <w:r w:rsidR="006B4072" w:rsidRPr="00424846">
        <w:rPr>
          <w:rFonts w:ascii="Arial" w:hAnsi="Arial" w:cs="Arial"/>
          <w:sz w:val="24"/>
          <w:szCs w:val="24"/>
        </w:rPr>
        <w:t xml:space="preserve">. </w:t>
      </w:r>
    </w:p>
    <w:p w14:paraId="62827AFC" w14:textId="5AB71ABB" w:rsidR="00676722" w:rsidRPr="00424846" w:rsidRDefault="00676722" w:rsidP="00862139">
      <w:pPr>
        <w:spacing w:line="480" w:lineRule="auto"/>
        <w:jc w:val="both"/>
        <w:rPr>
          <w:rFonts w:ascii="Arial" w:hAnsi="Arial" w:cs="Arial"/>
          <w:sz w:val="24"/>
          <w:szCs w:val="24"/>
        </w:rPr>
      </w:pPr>
      <w:r w:rsidRPr="00424846">
        <w:rPr>
          <w:rFonts w:ascii="Arial" w:hAnsi="Arial" w:cs="Arial"/>
          <w:sz w:val="24"/>
          <w:szCs w:val="24"/>
        </w:rPr>
        <w:t xml:space="preserve">When the </w:t>
      </w:r>
      <w:r w:rsidR="003E4EA1" w:rsidRPr="00424846">
        <w:rPr>
          <w:rFonts w:ascii="Arial" w:hAnsi="Arial" w:cs="Arial"/>
          <w:sz w:val="24"/>
          <w:szCs w:val="24"/>
        </w:rPr>
        <w:t xml:space="preserve">necessary </w:t>
      </w:r>
      <w:r w:rsidRPr="00424846">
        <w:rPr>
          <w:rFonts w:ascii="Arial" w:hAnsi="Arial" w:cs="Arial"/>
          <w:sz w:val="24"/>
          <w:szCs w:val="24"/>
        </w:rPr>
        <w:t>question of, whether the fruits of ill-gotten evidence could be admitted into British courts, was examined in the House of Lords</w:t>
      </w:r>
      <w:r w:rsidR="003E4EA1" w:rsidRPr="00424846">
        <w:rPr>
          <w:rFonts w:ascii="Arial" w:hAnsi="Arial" w:cs="Arial"/>
          <w:sz w:val="24"/>
          <w:szCs w:val="24"/>
        </w:rPr>
        <w:t xml:space="preserve"> </w:t>
      </w:r>
      <w:r w:rsidRPr="00424846">
        <w:rPr>
          <w:rFonts w:ascii="Arial" w:hAnsi="Arial" w:cs="Arial"/>
          <w:sz w:val="24"/>
          <w:szCs w:val="24"/>
        </w:rPr>
        <w:t>case</w:t>
      </w:r>
      <w:r w:rsidR="003E4EA1" w:rsidRPr="00424846">
        <w:rPr>
          <w:rFonts w:ascii="Arial" w:hAnsi="Arial" w:cs="Arial"/>
          <w:sz w:val="24"/>
          <w:szCs w:val="24"/>
        </w:rPr>
        <w:t xml:space="preserve">, </w:t>
      </w:r>
      <w:bookmarkStart w:id="44" w:name="_Hlk36154071"/>
      <w:r w:rsidRPr="00424846">
        <w:rPr>
          <w:rFonts w:ascii="Arial" w:hAnsi="Arial" w:cs="Arial"/>
          <w:sz w:val="24"/>
          <w:szCs w:val="24"/>
        </w:rPr>
        <w:t>A and Ors v Secretary of State for the Home Department</w:t>
      </w:r>
      <w:bookmarkEnd w:id="44"/>
      <w:r w:rsidR="00D63408" w:rsidRPr="00424846">
        <w:rPr>
          <w:rStyle w:val="FootnoteReference"/>
          <w:rFonts w:ascii="Arial" w:hAnsi="Arial" w:cs="Arial"/>
          <w:sz w:val="24"/>
          <w:szCs w:val="24"/>
        </w:rPr>
        <w:footnoteReference w:id="72"/>
      </w:r>
      <w:r w:rsidRPr="00424846">
        <w:rPr>
          <w:rFonts w:ascii="Arial" w:hAnsi="Arial" w:cs="Arial"/>
          <w:sz w:val="24"/>
          <w:szCs w:val="24"/>
        </w:rPr>
        <w:t>, Lord Hope</w:t>
      </w:r>
      <w:r w:rsidR="00D63408" w:rsidRPr="00424846">
        <w:rPr>
          <w:rFonts w:ascii="Arial" w:hAnsi="Arial" w:cs="Arial"/>
          <w:sz w:val="24"/>
          <w:szCs w:val="24"/>
        </w:rPr>
        <w:t>’s obiter statement was that</w:t>
      </w:r>
      <w:r w:rsidRPr="00424846">
        <w:rPr>
          <w:rFonts w:ascii="Arial" w:hAnsi="Arial" w:cs="Arial"/>
          <w:sz w:val="24"/>
          <w:szCs w:val="24"/>
        </w:rPr>
        <w:t xml:space="preserve">, if it could not be proven that the evidence has been ill-gotten, through torture, then it </w:t>
      </w:r>
      <w:r w:rsidRPr="00424846">
        <w:rPr>
          <w:rFonts w:ascii="Arial" w:hAnsi="Arial" w:cs="Arial"/>
          <w:sz w:val="24"/>
          <w:szCs w:val="24"/>
        </w:rPr>
        <w:lastRenderedPageBreak/>
        <w:t>may be admitted into</w:t>
      </w:r>
      <w:r w:rsidR="00BB3B69" w:rsidRPr="00424846">
        <w:rPr>
          <w:rFonts w:ascii="Arial" w:hAnsi="Arial" w:cs="Arial"/>
          <w:sz w:val="24"/>
          <w:szCs w:val="24"/>
        </w:rPr>
        <w:t xml:space="preserve"> </w:t>
      </w:r>
      <w:r w:rsidRPr="00424846">
        <w:rPr>
          <w:rFonts w:ascii="Arial" w:hAnsi="Arial" w:cs="Arial"/>
          <w:sz w:val="24"/>
          <w:szCs w:val="24"/>
        </w:rPr>
        <w:t>UK</w:t>
      </w:r>
      <w:r w:rsidR="00BB3B69" w:rsidRPr="00424846">
        <w:rPr>
          <w:rFonts w:ascii="Arial" w:hAnsi="Arial" w:cs="Arial"/>
          <w:sz w:val="24"/>
          <w:szCs w:val="24"/>
        </w:rPr>
        <w:t xml:space="preserve"> courts</w:t>
      </w:r>
      <w:r w:rsidR="003E4EA1" w:rsidRPr="00424846">
        <w:rPr>
          <w:rFonts w:ascii="Arial" w:hAnsi="Arial" w:cs="Arial"/>
          <w:sz w:val="24"/>
          <w:szCs w:val="24"/>
        </w:rPr>
        <w:t xml:space="preserve">. </w:t>
      </w:r>
      <w:r w:rsidRPr="00424846">
        <w:rPr>
          <w:rFonts w:ascii="Arial" w:hAnsi="Arial" w:cs="Arial"/>
          <w:sz w:val="24"/>
          <w:szCs w:val="24"/>
        </w:rPr>
        <w:t xml:space="preserve">Conversely, Lord Bingham counters, that if there is a chance or doubt as to how the evidence was obtained, it should be excluded as evidence in UK courts. The majority </w:t>
      </w:r>
      <w:r w:rsidR="00D63408" w:rsidRPr="00424846">
        <w:rPr>
          <w:rFonts w:ascii="Arial" w:hAnsi="Arial" w:cs="Arial"/>
          <w:sz w:val="24"/>
          <w:szCs w:val="24"/>
        </w:rPr>
        <w:t xml:space="preserve">of </w:t>
      </w:r>
      <w:r w:rsidRPr="00424846">
        <w:rPr>
          <w:rFonts w:ascii="Arial" w:hAnsi="Arial" w:cs="Arial"/>
          <w:sz w:val="24"/>
          <w:szCs w:val="24"/>
        </w:rPr>
        <w:t xml:space="preserve">Law Lords, concluded, that it was impermissible to use evidence that was questionably obtained, </w:t>
      </w:r>
      <w:r w:rsidR="00BB3B69" w:rsidRPr="00424846">
        <w:rPr>
          <w:rFonts w:ascii="Arial" w:hAnsi="Arial" w:cs="Arial"/>
          <w:sz w:val="24"/>
          <w:szCs w:val="24"/>
        </w:rPr>
        <w:t>affording</w:t>
      </w:r>
      <w:r w:rsidRPr="00424846">
        <w:rPr>
          <w:rFonts w:ascii="Arial" w:hAnsi="Arial" w:cs="Arial"/>
          <w:sz w:val="24"/>
          <w:szCs w:val="24"/>
        </w:rPr>
        <w:t xml:space="preserve"> permission for Liberty and Redress, to intervene in the </w:t>
      </w:r>
      <w:r w:rsidR="00BB3B69" w:rsidRPr="00424846">
        <w:rPr>
          <w:rFonts w:ascii="Arial" w:hAnsi="Arial" w:cs="Arial"/>
          <w:sz w:val="24"/>
          <w:szCs w:val="24"/>
        </w:rPr>
        <w:t xml:space="preserve">previous </w:t>
      </w:r>
      <w:r w:rsidRPr="00424846">
        <w:rPr>
          <w:rFonts w:ascii="Arial" w:hAnsi="Arial" w:cs="Arial"/>
          <w:sz w:val="24"/>
          <w:szCs w:val="24"/>
        </w:rPr>
        <w:t>2004 Court of Appeal’s judgement</w:t>
      </w:r>
      <w:r w:rsidR="00BB3B69" w:rsidRPr="00424846">
        <w:rPr>
          <w:rStyle w:val="FootnoteReference"/>
          <w:rFonts w:ascii="Arial" w:hAnsi="Arial" w:cs="Arial"/>
          <w:sz w:val="24"/>
          <w:szCs w:val="24"/>
        </w:rPr>
        <w:footnoteReference w:id="73"/>
      </w:r>
      <w:r w:rsidRPr="00424846">
        <w:rPr>
          <w:rFonts w:ascii="Arial" w:hAnsi="Arial" w:cs="Arial"/>
          <w:sz w:val="24"/>
          <w:szCs w:val="24"/>
        </w:rPr>
        <w:t xml:space="preserve">, which </w:t>
      </w:r>
      <w:r w:rsidR="00D63408" w:rsidRPr="00424846">
        <w:rPr>
          <w:rFonts w:ascii="Arial" w:hAnsi="Arial" w:cs="Arial"/>
          <w:sz w:val="24"/>
          <w:szCs w:val="24"/>
        </w:rPr>
        <w:t xml:space="preserve">stated that </w:t>
      </w:r>
      <w:r w:rsidRPr="00424846">
        <w:rPr>
          <w:rFonts w:ascii="Arial" w:hAnsi="Arial" w:cs="Arial"/>
          <w:sz w:val="24"/>
          <w:szCs w:val="24"/>
        </w:rPr>
        <w:t xml:space="preserve">evidence obtained by torture </w:t>
      </w:r>
      <w:r w:rsidR="00D63408" w:rsidRPr="00424846">
        <w:rPr>
          <w:rFonts w:ascii="Arial" w:hAnsi="Arial" w:cs="Arial"/>
          <w:sz w:val="24"/>
          <w:szCs w:val="24"/>
        </w:rPr>
        <w:t>was permissible in British courts</w:t>
      </w:r>
      <w:r w:rsidRPr="00424846">
        <w:rPr>
          <w:rFonts w:ascii="Arial" w:hAnsi="Arial" w:cs="Arial"/>
          <w:sz w:val="24"/>
          <w:szCs w:val="24"/>
        </w:rPr>
        <w:t xml:space="preserve">. </w:t>
      </w:r>
      <w:r w:rsidR="00D63408" w:rsidRPr="00424846">
        <w:rPr>
          <w:rFonts w:ascii="Arial" w:hAnsi="Arial" w:cs="Arial"/>
          <w:sz w:val="24"/>
          <w:szCs w:val="24"/>
        </w:rPr>
        <w:t xml:space="preserve">Maintaining the </w:t>
      </w:r>
      <w:r w:rsidR="00BB3B69" w:rsidRPr="00424846">
        <w:rPr>
          <w:rFonts w:ascii="Arial" w:hAnsi="Arial" w:cs="Arial"/>
          <w:sz w:val="24"/>
          <w:szCs w:val="24"/>
        </w:rPr>
        <w:t xml:space="preserve">stance that torture is </w:t>
      </w:r>
      <w:r w:rsidR="00D63408" w:rsidRPr="00424846">
        <w:rPr>
          <w:rFonts w:ascii="Arial" w:hAnsi="Arial" w:cs="Arial"/>
          <w:sz w:val="24"/>
          <w:szCs w:val="24"/>
        </w:rPr>
        <w:t>illega</w:t>
      </w:r>
      <w:r w:rsidR="00BB3B69" w:rsidRPr="00424846">
        <w:rPr>
          <w:rFonts w:ascii="Arial" w:hAnsi="Arial" w:cs="Arial"/>
          <w:sz w:val="24"/>
          <w:szCs w:val="24"/>
        </w:rPr>
        <w:t>l</w:t>
      </w:r>
      <w:r w:rsidR="00D63408" w:rsidRPr="00424846">
        <w:rPr>
          <w:rFonts w:ascii="Arial" w:hAnsi="Arial" w:cs="Arial"/>
          <w:sz w:val="24"/>
          <w:szCs w:val="24"/>
        </w:rPr>
        <w:t xml:space="preserve">, despite, some </w:t>
      </w:r>
      <w:r w:rsidR="00BB3B69" w:rsidRPr="00424846">
        <w:rPr>
          <w:rFonts w:ascii="Arial" w:hAnsi="Arial" w:cs="Arial"/>
          <w:sz w:val="24"/>
          <w:szCs w:val="24"/>
        </w:rPr>
        <w:t xml:space="preserve">alternative opinions from </w:t>
      </w:r>
      <w:r w:rsidR="005E4137" w:rsidRPr="00424846">
        <w:rPr>
          <w:rFonts w:ascii="Arial" w:hAnsi="Arial" w:cs="Arial"/>
          <w:sz w:val="24"/>
          <w:szCs w:val="24"/>
        </w:rPr>
        <w:t xml:space="preserve">Lord Hope and the </w:t>
      </w:r>
      <w:r w:rsidR="00BB3B69" w:rsidRPr="00424846">
        <w:rPr>
          <w:rFonts w:ascii="Arial" w:hAnsi="Arial" w:cs="Arial"/>
          <w:sz w:val="24"/>
          <w:szCs w:val="24"/>
        </w:rPr>
        <w:t>C</w:t>
      </w:r>
      <w:r w:rsidR="005E4137" w:rsidRPr="00424846">
        <w:rPr>
          <w:rFonts w:ascii="Arial" w:hAnsi="Arial" w:cs="Arial"/>
          <w:sz w:val="24"/>
          <w:szCs w:val="24"/>
        </w:rPr>
        <w:t xml:space="preserve">ourt of </w:t>
      </w:r>
      <w:r w:rsidR="00BB3B69" w:rsidRPr="00424846">
        <w:rPr>
          <w:rFonts w:ascii="Arial" w:hAnsi="Arial" w:cs="Arial"/>
          <w:sz w:val="24"/>
          <w:szCs w:val="24"/>
        </w:rPr>
        <w:t>A</w:t>
      </w:r>
      <w:r w:rsidR="005E4137" w:rsidRPr="00424846">
        <w:rPr>
          <w:rFonts w:ascii="Arial" w:hAnsi="Arial" w:cs="Arial"/>
          <w:sz w:val="24"/>
          <w:szCs w:val="24"/>
        </w:rPr>
        <w:t xml:space="preserve">ppeal. </w:t>
      </w:r>
    </w:p>
    <w:p w14:paraId="2C0CDC25" w14:textId="46CA4911" w:rsidR="00FE4448" w:rsidRPr="00424846" w:rsidRDefault="00192E61" w:rsidP="00862139">
      <w:pPr>
        <w:spacing w:line="480" w:lineRule="auto"/>
        <w:jc w:val="both"/>
        <w:rPr>
          <w:rFonts w:ascii="Arial" w:hAnsi="Arial" w:cs="Arial"/>
          <w:sz w:val="24"/>
          <w:szCs w:val="24"/>
        </w:rPr>
      </w:pPr>
      <w:r w:rsidRPr="00424846">
        <w:rPr>
          <w:rFonts w:ascii="Arial" w:hAnsi="Arial" w:cs="Arial"/>
          <w:sz w:val="24"/>
          <w:szCs w:val="24"/>
        </w:rPr>
        <w:t>Lastly</w:t>
      </w:r>
      <w:r w:rsidR="0070587F" w:rsidRPr="00424846">
        <w:rPr>
          <w:rFonts w:ascii="Arial" w:hAnsi="Arial" w:cs="Arial"/>
          <w:sz w:val="24"/>
          <w:szCs w:val="24"/>
        </w:rPr>
        <w:t xml:space="preserve">, </w:t>
      </w:r>
      <w:r w:rsidR="000154A7" w:rsidRPr="00424846">
        <w:rPr>
          <w:rFonts w:ascii="Arial" w:hAnsi="Arial" w:cs="Arial"/>
          <w:sz w:val="24"/>
          <w:szCs w:val="24"/>
        </w:rPr>
        <w:t>the government’s negotiation of</w:t>
      </w:r>
      <w:r w:rsidR="00D224BC" w:rsidRPr="00424846">
        <w:rPr>
          <w:rFonts w:ascii="Arial" w:hAnsi="Arial" w:cs="Arial"/>
          <w:sz w:val="24"/>
          <w:szCs w:val="24"/>
        </w:rPr>
        <w:t xml:space="preserve"> </w:t>
      </w:r>
      <w:r w:rsidR="00DB48C6" w:rsidRPr="00424846">
        <w:rPr>
          <w:rFonts w:ascii="Arial" w:hAnsi="Arial" w:cs="Arial"/>
          <w:sz w:val="24"/>
          <w:szCs w:val="24"/>
        </w:rPr>
        <w:t xml:space="preserve">MoU </w:t>
      </w:r>
      <w:r w:rsidR="000154A7" w:rsidRPr="00424846">
        <w:rPr>
          <w:rFonts w:ascii="Arial" w:hAnsi="Arial" w:cs="Arial"/>
          <w:sz w:val="24"/>
          <w:szCs w:val="24"/>
        </w:rPr>
        <w:t>with countries</w:t>
      </w:r>
      <w:r w:rsidR="00CF2349" w:rsidRPr="00424846">
        <w:rPr>
          <w:rFonts w:ascii="Arial" w:hAnsi="Arial" w:cs="Arial"/>
          <w:sz w:val="24"/>
          <w:szCs w:val="24"/>
        </w:rPr>
        <w:t xml:space="preserve"> </w:t>
      </w:r>
      <w:r w:rsidR="000154A7" w:rsidRPr="00424846">
        <w:rPr>
          <w:rFonts w:ascii="Arial" w:hAnsi="Arial" w:cs="Arial"/>
          <w:sz w:val="24"/>
          <w:szCs w:val="24"/>
        </w:rPr>
        <w:t>to deport suspects</w:t>
      </w:r>
      <w:r w:rsidR="00CF2349" w:rsidRPr="00424846">
        <w:rPr>
          <w:rFonts w:ascii="Arial" w:hAnsi="Arial" w:cs="Arial"/>
          <w:sz w:val="24"/>
          <w:szCs w:val="24"/>
        </w:rPr>
        <w:t xml:space="preserve">, to </w:t>
      </w:r>
      <w:r w:rsidR="000154A7" w:rsidRPr="00424846">
        <w:rPr>
          <w:rFonts w:ascii="Arial" w:hAnsi="Arial" w:cs="Arial"/>
          <w:sz w:val="24"/>
          <w:szCs w:val="24"/>
        </w:rPr>
        <w:t>where torture is known to be used</w:t>
      </w:r>
      <w:r w:rsidR="0070587F" w:rsidRPr="00424846">
        <w:rPr>
          <w:rFonts w:ascii="Arial" w:hAnsi="Arial" w:cs="Arial"/>
          <w:sz w:val="24"/>
          <w:szCs w:val="24"/>
        </w:rPr>
        <w:t xml:space="preserve">, if </w:t>
      </w:r>
      <w:r w:rsidR="00002486" w:rsidRPr="00424846">
        <w:rPr>
          <w:rFonts w:ascii="Arial" w:hAnsi="Arial" w:cs="Arial"/>
          <w:sz w:val="24"/>
          <w:szCs w:val="24"/>
        </w:rPr>
        <w:t xml:space="preserve">the country </w:t>
      </w:r>
      <w:r w:rsidR="0070587F" w:rsidRPr="00424846">
        <w:rPr>
          <w:rFonts w:ascii="Arial" w:hAnsi="Arial" w:cs="Arial"/>
          <w:sz w:val="24"/>
          <w:szCs w:val="24"/>
        </w:rPr>
        <w:t>agree</w:t>
      </w:r>
      <w:r w:rsidR="00002486" w:rsidRPr="00424846">
        <w:rPr>
          <w:rFonts w:ascii="Arial" w:hAnsi="Arial" w:cs="Arial"/>
          <w:sz w:val="24"/>
          <w:szCs w:val="24"/>
        </w:rPr>
        <w:t>s</w:t>
      </w:r>
      <w:r w:rsidR="0070587F" w:rsidRPr="00424846">
        <w:rPr>
          <w:rFonts w:ascii="Arial" w:hAnsi="Arial" w:cs="Arial"/>
          <w:sz w:val="24"/>
          <w:szCs w:val="24"/>
        </w:rPr>
        <w:t xml:space="preserve"> that they will not torture</w:t>
      </w:r>
      <w:r w:rsidR="00002486" w:rsidRPr="00424846">
        <w:rPr>
          <w:rFonts w:ascii="Arial" w:hAnsi="Arial" w:cs="Arial"/>
          <w:sz w:val="24"/>
          <w:szCs w:val="24"/>
        </w:rPr>
        <w:t>, nor,</w:t>
      </w:r>
      <w:r w:rsidR="0070587F" w:rsidRPr="00424846">
        <w:rPr>
          <w:rFonts w:ascii="Arial" w:hAnsi="Arial" w:cs="Arial"/>
          <w:sz w:val="24"/>
          <w:szCs w:val="24"/>
        </w:rPr>
        <w:t xml:space="preserve"> use evidence obtained by torture to criminalise the suspect in their courts</w:t>
      </w:r>
      <w:r w:rsidR="003519B3" w:rsidRPr="00424846">
        <w:rPr>
          <w:rStyle w:val="FootnoteReference"/>
          <w:rFonts w:ascii="Arial" w:hAnsi="Arial" w:cs="Arial"/>
          <w:sz w:val="24"/>
          <w:szCs w:val="24"/>
        </w:rPr>
        <w:footnoteReference w:id="74"/>
      </w:r>
      <w:r w:rsidR="00CF2349" w:rsidRPr="00424846">
        <w:rPr>
          <w:rFonts w:ascii="Arial" w:hAnsi="Arial" w:cs="Arial"/>
          <w:sz w:val="24"/>
          <w:szCs w:val="24"/>
        </w:rPr>
        <w:t>, has been criticised a</w:t>
      </w:r>
      <w:r w:rsidR="00775CC6" w:rsidRPr="00424846">
        <w:rPr>
          <w:rFonts w:ascii="Arial" w:hAnsi="Arial" w:cs="Arial"/>
          <w:sz w:val="24"/>
          <w:szCs w:val="24"/>
        </w:rPr>
        <w:t>s contradicting the HRA</w:t>
      </w:r>
      <w:r w:rsidR="003519B3" w:rsidRPr="00424846">
        <w:rPr>
          <w:rFonts w:ascii="Arial" w:hAnsi="Arial" w:cs="Arial"/>
          <w:sz w:val="24"/>
          <w:szCs w:val="24"/>
        </w:rPr>
        <w:t>, because it holds th</w:t>
      </w:r>
      <w:r w:rsidR="00BC7D86" w:rsidRPr="00424846">
        <w:rPr>
          <w:rFonts w:ascii="Arial" w:hAnsi="Arial" w:cs="Arial"/>
          <w:sz w:val="24"/>
          <w:szCs w:val="24"/>
        </w:rPr>
        <w:t>is country</w:t>
      </w:r>
      <w:r w:rsidR="003519B3" w:rsidRPr="00424846">
        <w:rPr>
          <w:rFonts w:ascii="Arial" w:hAnsi="Arial" w:cs="Arial"/>
          <w:sz w:val="24"/>
          <w:szCs w:val="24"/>
        </w:rPr>
        <w:t xml:space="preserve"> to a lower obligation, than the positive one they are expected to follow.</w:t>
      </w:r>
      <w:r w:rsidR="00BC7D86" w:rsidRPr="00424846">
        <w:rPr>
          <w:rFonts w:ascii="Arial" w:hAnsi="Arial" w:cs="Arial"/>
          <w:sz w:val="24"/>
          <w:szCs w:val="24"/>
        </w:rPr>
        <w:t xml:space="preserve"> According to, n</w:t>
      </w:r>
      <w:r w:rsidR="003614EF" w:rsidRPr="00424846">
        <w:rPr>
          <w:rFonts w:ascii="Arial" w:hAnsi="Arial" w:cs="Arial"/>
          <w:sz w:val="24"/>
          <w:szCs w:val="24"/>
        </w:rPr>
        <w:t xml:space="preserve">on-governmental organisations, such as </w:t>
      </w:r>
      <w:r w:rsidR="000154A7" w:rsidRPr="00424846">
        <w:rPr>
          <w:rFonts w:ascii="Arial" w:hAnsi="Arial" w:cs="Arial"/>
          <w:sz w:val="24"/>
          <w:szCs w:val="24"/>
        </w:rPr>
        <w:t>JUSTICE and Human Rights Watch</w:t>
      </w:r>
      <w:r w:rsidR="003614EF" w:rsidRPr="00424846">
        <w:rPr>
          <w:rFonts w:ascii="Arial" w:hAnsi="Arial" w:cs="Arial"/>
          <w:sz w:val="24"/>
          <w:szCs w:val="24"/>
        </w:rPr>
        <w:t xml:space="preserve">, </w:t>
      </w:r>
      <w:r w:rsidR="006712EF" w:rsidRPr="00424846">
        <w:rPr>
          <w:rFonts w:ascii="Arial" w:hAnsi="Arial" w:cs="Arial"/>
          <w:sz w:val="24"/>
          <w:szCs w:val="24"/>
        </w:rPr>
        <w:t>have</w:t>
      </w:r>
      <w:r w:rsidR="000154A7" w:rsidRPr="00424846">
        <w:rPr>
          <w:rFonts w:ascii="Arial" w:hAnsi="Arial" w:cs="Arial"/>
          <w:sz w:val="24"/>
          <w:szCs w:val="24"/>
        </w:rPr>
        <w:t xml:space="preserve"> </w:t>
      </w:r>
      <w:r w:rsidR="00616C8C" w:rsidRPr="00424846">
        <w:rPr>
          <w:rFonts w:ascii="Arial" w:hAnsi="Arial" w:cs="Arial"/>
          <w:sz w:val="24"/>
          <w:szCs w:val="24"/>
        </w:rPr>
        <w:t xml:space="preserve">attempted to </w:t>
      </w:r>
      <w:r w:rsidR="000154A7" w:rsidRPr="00424846">
        <w:rPr>
          <w:rFonts w:ascii="Arial" w:hAnsi="Arial" w:cs="Arial"/>
          <w:sz w:val="24"/>
          <w:szCs w:val="24"/>
        </w:rPr>
        <w:t>interven</w:t>
      </w:r>
      <w:r w:rsidR="006712EF" w:rsidRPr="00424846">
        <w:rPr>
          <w:rFonts w:ascii="Arial" w:hAnsi="Arial" w:cs="Arial"/>
          <w:sz w:val="24"/>
          <w:szCs w:val="24"/>
        </w:rPr>
        <w:t>ed</w:t>
      </w:r>
      <w:r w:rsidR="000154A7" w:rsidRPr="00424846">
        <w:rPr>
          <w:rFonts w:ascii="Arial" w:hAnsi="Arial" w:cs="Arial"/>
          <w:sz w:val="24"/>
          <w:szCs w:val="24"/>
        </w:rPr>
        <w:t xml:space="preserve"> in the case of Secretary of State for the Home Department v OO</w:t>
      </w:r>
      <w:r w:rsidR="00DE154C" w:rsidRPr="00424846">
        <w:rPr>
          <w:rStyle w:val="FootnoteReference"/>
          <w:rFonts w:ascii="Arial" w:hAnsi="Arial" w:cs="Arial"/>
          <w:sz w:val="24"/>
          <w:szCs w:val="24"/>
        </w:rPr>
        <w:footnoteReference w:id="75"/>
      </w:r>
      <w:r w:rsidR="00616C8C" w:rsidRPr="00424846">
        <w:rPr>
          <w:rFonts w:ascii="Arial" w:hAnsi="Arial" w:cs="Arial"/>
          <w:sz w:val="24"/>
          <w:szCs w:val="24"/>
        </w:rPr>
        <w:t xml:space="preserve">, </w:t>
      </w:r>
      <w:r w:rsidR="000154A7" w:rsidRPr="00424846">
        <w:rPr>
          <w:rFonts w:ascii="Arial" w:hAnsi="Arial" w:cs="Arial"/>
          <w:sz w:val="24"/>
          <w:szCs w:val="24"/>
        </w:rPr>
        <w:t xml:space="preserve">to argue that MoU cannot </w:t>
      </w:r>
      <w:r w:rsidR="00616C8C" w:rsidRPr="00424846">
        <w:rPr>
          <w:rFonts w:ascii="Arial" w:hAnsi="Arial" w:cs="Arial"/>
          <w:sz w:val="24"/>
          <w:szCs w:val="24"/>
        </w:rPr>
        <w:t>be depended</w:t>
      </w:r>
      <w:r w:rsidR="000154A7" w:rsidRPr="00424846">
        <w:rPr>
          <w:rFonts w:ascii="Arial" w:hAnsi="Arial" w:cs="Arial"/>
          <w:sz w:val="24"/>
          <w:szCs w:val="24"/>
        </w:rPr>
        <w:t xml:space="preserve"> upon</w:t>
      </w:r>
      <w:r w:rsidR="006712EF" w:rsidRPr="00424846">
        <w:rPr>
          <w:rFonts w:ascii="Arial" w:hAnsi="Arial" w:cs="Arial"/>
          <w:sz w:val="24"/>
          <w:szCs w:val="24"/>
        </w:rPr>
        <w:t xml:space="preserve">, in the </w:t>
      </w:r>
      <w:r w:rsidR="00616C8C" w:rsidRPr="00424846">
        <w:rPr>
          <w:rFonts w:ascii="Arial" w:hAnsi="Arial" w:cs="Arial"/>
          <w:sz w:val="24"/>
          <w:szCs w:val="24"/>
        </w:rPr>
        <w:t>same way it was in</w:t>
      </w:r>
      <w:r w:rsidR="006712EF" w:rsidRPr="00424846">
        <w:rPr>
          <w:rFonts w:ascii="Arial" w:hAnsi="Arial" w:cs="Arial"/>
          <w:sz w:val="24"/>
          <w:szCs w:val="24"/>
        </w:rPr>
        <w:t xml:space="preserve"> </w:t>
      </w:r>
      <w:r w:rsidR="00EB4760" w:rsidRPr="00424846">
        <w:rPr>
          <w:rFonts w:ascii="Arial" w:hAnsi="Arial" w:cs="Arial"/>
          <w:sz w:val="24"/>
          <w:szCs w:val="24"/>
        </w:rPr>
        <w:t>Abdul</w:t>
      </w:r>
      <w:r w:rsidR="002E66A0" w:rsidRPr="00424846">
        <w:rPr>
          <w:rFonts w:ascii="Arial" w:hAnsi="Arial" w:cs="Arial"/>
          <w:sz w:val="24"/>
          <w:szCs w:val="24"/>
        </w:rPr>
        <w:t xml:space="preserve"> </w:t>
      </w:r>
      <w:r w:rsidR="00EB4760" w:rsidRPr="00424846">
        <w:rPr>
          <w:rFonts w:ascii="Arial" w:hAnsi="Arial" w:cs="Arial"/>
          <w:sz w:val="24"/>
          <w:szCs w:val="24"/>
        </w:rPr>
        <w:t>Khakov v Russia</w:t>
      </w:r>
      <w:r w:rsidR="00BC7D86" w:rsidRPr="00424846">
        <w:rPr>
          <w:rFonts w:ascii="Arial" w:hAnsi="Arial" w:cs="Arial"/>
          <w:sz w:val="24"/>
          <w:szCs w:val="24"/>
        </w:rPr>
        <w:t>, where the MoU proved to be reliable</w:t>
      </w:r>
      <w:r w:rsidR="00462674" w:rsidRPr="00424846">
        <w:rPr>
          <w:rStyle w:val="FootnoteReference"/>
          <w:rFonts w:ascii="Arial" w:hAnsi="Arial" w:cs="Arial"/>
          <w:sz w:val="24"/>
          <w:szCs w:val="24"/>
        </w:rPr>
        <w:footnoteReference w:id="76"/>
      </w:r>
      <w:r w:rsidR="00EB4760" w:rsidRPr="00424846">
        <w:rPr>
          <w:rFonts w:ascii="Arial" w:hAnsi="Arial" w:cs="Arial"/>
          <w:sz w:val="24"/>
          <w:szCs w:val="24"/>
        </w:rPr>
        <w:t xml:space="preserve">. </w:t>
      </w:r>
      <w:r w:rsidR="00A56795" w:rsidRPr="00424846">
        <w:rPr>
          <w:rFonts w:ascii="Arial" w:hAnsi="Arial" w:cs="Arial"/>
          <w:sz w:val="24"/>
          <w:szCs w:val="24"/>
        </w:rPr>
        <w:t>Contrary to this, however, it is the responsibility of the SIAC</w:t>
      </w:r>
      <w:r w:rsidR="00EB0723" w:rsidRPr="00424846">
        <w:rPr>
          <w:rFonts w:ascii="Arial" w:hAnsi="Arial" w:cs="Arial"/>
          <w:sz w:val="24"/>
          <w:szCs w:val="24"/>
        </w:rPr>
        <w:t xml:space="preserve">, along with the court, </w:t>
      </w:r>
      <w:r w:rsidR="00A56795" w:rsidRPr="00424846">
        <w:rPr>
          <w:rFonts w:ascii="Arial" w:hAnsi="Arial" w:cs="Arial"/>
          <w:sz w:val="24"/>
          <w:szCs w:val="24"/>
        </w:rPr>
        <w:t>to find a</w:t>
      </w:r>
      <w:r w:rsidR="00FD7673" w:rsidRPr="00424846">
        <w:rPr>
          <w:rFonts w:ascii="Arial" w:hAnsi="Arial" w:cs="Arial"/>
          <w:sz w:val="24"/>
          <w:szCs w:val="24"/>
        </w:rPr>
        <w:t xml:space="preserve"> reasonable balance between the public’s best interest and individual’s right</w:t>
      </w:r>
      <w:r w:rsidR="00EB0723" w:rsidRPr="00424846">
        <w:rPr>
          <w:rFonts w:ascii="Arial" w:hAnsi="Arial" w:cs="Arial"/>
          <w:sz w:val="24"/>
          <w:szCs w:val="24"/>
        </w:rPr>
        <w:t xml:space="preserve"> in cases like OO</w:t>
      </w:r>
      <w:r w:rsidR="00FD7673" w:rsidRPr="00424846">
        <w:rPr>
          <w:rFonts w:ascii="Arial" w:hAnsi="Arial" w:cs="Arial"/>
          <w:sz w:val="24"/>
          <w:szCs w:val="24"/>
        </w:rPr>
        <w:t xml:space="preserve">, </w:t>
      </w:r>
      <w:r w:rsidR="00331ACF" w:rsidRPr="00424846">
        <w:rPr>
          <w:rFonts w:ascii="Arial" w:hAnsi="Arial" w:cs="Arial"/>
          <w:sz w:val="24"/>
          <w:szCs w:val="24"/>
        </w:rPr>
        <w:t>resulting, in</w:t>
      </w:r>
      <w:r w:rsidR="00FD7673" w:rsidRPr="00424846">
        <w:rPr>
          <w:rFonts w:ascii="Arial" w:hAnsi="Arial" w:cs="Arial"/>
          <w:sz w:val="24"/>
          <w:szCs w:val="24"/>
        </w:rPr>
        <w:t xml:space="preserve"> Mo</w:t>
      </w:r>
      <w:r w:rsidR="00B17CFE" w:rsidRPr="00424846">
        <w:rPr>
          <w:rFonts w:ascii="Arial" w:hAnsi="Arial" w:cs="Arial"/>
          <w:sz w:val="24"/>
          <w:szCs w:val="24"/>
        </w:rPr>
        <w:t>U</w:t>
      </w:r>
      <w:r w:rsidR="00331ACF" w:rsidRPr="00424846">
        <w:rPr>
          <w:rFonts w:ascii="Arial" w:hAnsi="Arial" w:cs="Arial"/>
          <w:sz w:val="24"/>
          <w:szCs w:val="24"/>
        </w:rPr>
        <w:t xml:space="preserve">’s being </w:t>
      </w:r>
      <w:r w:rsidR="00331ACF" w:rsidRPr="00424846">
        <w:rPr>
          <w:rFonts w:ascii="Arial" w:hAnsi="Arial" w:cs="Arial"/>
          <w:sz w:val="24"/>
          <w:szCs w:val="24"/>
        </w:rPr>
        <w:lastRenderedPageBreak/>
        <w:t>necessary to the state</w:t>
      </w:r>
      <w:r w:rsidR="00EB0723" w:rsidRPr="00424846">
        <w:rPr>
          <w:rFonts w:ascii="Arial" w:hAnsi="Arial" w:cs="Arial"/>
          <w:sz w:val="24"/>
          <w:szCs w:val="24"/>
        </w:rPr>
        <w:t xml:space="preserve">, just as long as it is regulated by the SIAC and the court. Though, the </w:t>
      </w:r>
      <w:r w:rsidR="00207A2E" w:rsidRPr="00424846">
        <w:rPr>
          <w:rFonts w:ascii="Arial" w:hAnsi="Arial" w:cs="Arial"/>
          <w:sz w:val="24"/>
          <w:szCs w:val="24"/>
        </w:rPr>
        <w:t>principle</w:t>
      </w:r>
      <w:r w:rsidR="00EB0723" w:rsidRPr="00424846">
        <w:rPr>
          <w:rFonts w:ascii="Arial" w:hAnsi="Arial" w:cs="Arial"/>
          <w:sz w:val="24"/>
          <w:szCs w:val="24"/>
        </w:rPr>
        <w:t xml:space="preserve">, of torture </w:t>
      </w:r>
      <w:r w:rsidR="00C4604D" w:rsidRPr="00424846">
        <w:rPr>
          <w:rFonts w:ascii="Arial" w:hAnsi="Arial" w:cs="Arial"/>
          <w:sz w:val="24"/>
          <w:szCs w:val="24"/>
        </w:rPr>
        <w:t xml:space="preserve">and its fruits </w:t>
      </w:r>
      <w:r w:rsidR="00EB0723" w:rsidRPr="00424846">
        <w:rPr>
          <w:rFonts w:ascii="Arial" w:hAnsi="Arial" w:cs="Arial"/>
          <w:sz w:val="24"/>
          <w:szCs w:val="24"/>
        </w:rPr>
        <w:t>being illegal, continues to stay the same</w:t>
      </w:r>
      <w:r w:rsidR="00207A2E" w:rsidRPr="00424846">
        <w:rPr>
          <w:rFonts w:ascii="Arial" w:hAnsi="Arial" w:cs="Arial"/>
          <w:sz w:val="24"/>
          <w:szCs w:val="24"/>
        </w:rPr>
        <w:t xml:space="preserve">. </w:t>
      </w:r>
    </w:p>
    <w:p w14:paraId="653D4722" w14:textId="77777777" w:rsidR="00493E1C" w:rsidRPr="00424846" w:rsidRDefault="00676722" w:rsidP="00862139">
      <w:pPr>
        <w:spacing w:line="480" w:lineRule="auto"/>
        <w:jc w:val="both"/>
        <w:rPr>
          <w:rFonts w:ascii="Arial" w:hAnsi="Arial" w:cs="Arial"/>
          <w:sz w:val="24"/>
          <w:szCs w:val="24"/>
        </w:rPr>
      </w:pPr>
      <w:r w:rsidRPr="00424846">
        <w:rPr>
          <w:rFonts w:ascii="Arial" w:hAnsi="Arial" w:cs="Arial"/>
          <w:sz w:val="24"/>
          <w:szCs w:val="24"/>
        </w:rPr>
        <w:t>To summarise</w:t>
      </w:r>
      <w:r w:rsidR="004E156E" w:rsidRPr="00424846">
        <w:rPr>
          <w:rFonts w:ascii="Arial" w:hAnsi="Arial" w:cs="Arial"/>
          <w:sz w:val="24"/>
          <w:szCs w:val="24"/>
        </w:rPr>
        <w:t xml:space="preserve">, despite the </w:t>
      </w:r>
      <w:r w:rsidRPr="00424846">
        <w:rPr>
          <w:rFonts w:ascii="Arial" w:hAnsi="Arial" w:cs="Arial"/>
          <w:sz w:val="24"/>
          <w:szCs w:val="24"/>
        </w:rPr>
        <w:t>states attempt to use the term ‘state security’ loosely enough that it will enable deportation</w:t>
      </w:r>
      <w:r w:rsidR="00493E1C" w:rsidRPr="00424846">
        <w:rPr>
          <w:rFonts w:ascii="Arial" w:hAnsi="Arial" w:cs="Arial"/>
          <w:sz w:val="24"/>
          <w:szCs w:val="24"/>
        </w:rPr>
        <w:t>, as well as</w:t>
      </w:r>
      <w:r w:rsidR="00FE4448" w:rsidRPr="00424846">
        <w:rPr>
          <w:rFonts w:ascii="Arial" w:hAnsi="Arial" w:cs="Arial"/>
          <w:sz w:val="24"/>
          <w:szCs w:val="24"/>
        </w:rPr>
        <w:t xml:space="preserve"> the defence in s134</w:t>
      </w:r>
      <w:r w:rsidR="00493E1C" w:rsidRPr="00424846">
        <w:rPr>
          <w:rFonts w:ascii="Arial" w:hAnsi="Arial" w:cs="Arial"/>
          <w:sz w:val="24"/>
          <w:szCs w:val="24"/>
        </w:rPr>
        <w:t xml:space="preserve">(4) </w:t>
      </w:r>
      <w:r w:rsidR="00FE4448" w:rsidRPr="00424846">
        <w:rPr>
          <w:rFonts w:ascii="Arial" w:hAnsi="Arial" w:cs="Arial"/>
          <w:sz w:val="24"/>
          <w:szCs w:val="24"/>
        </w:rPr>
        <w:t>of the CJA, the continuous debate of whether evidence obtained</w:t>
      </w:r>
      <w:r w:rsidR="004C732D" w:rsidRPr="00424846">
        <w:rPr>
          <w:rFonts w:ascii="Arial" w:hAnsi="Arial" w:cs="Arial"/>
          <w:sz w:val="24"/>
          <w:szCs w:val="24"/>
        </w:rPr>
        <w:t xml:space="preserve"> </w:t>
      </w:r>
      <w:r w:rsidR="00FE4448" w:rsidRPr="00424846">
        <w:rPr>
          <w:rFonts w:ascii="Arial" w:hAnsi="Arial" w:cs="Arial"/>
          <w:sz w:val="24"/>
          <w:szCs w:val="24"/>
        </w:rPr>
        <w:t>dubiously</w:t>
      </w:r>
      <w:r w:rsidR="004C732D" w:rsidRPr="00424846">
        <w:rPr>
          <w:rFonts w:ascii="Arial" w:hAnsi="Arial" w:cs="Arial"/>
          <w:sz w:val="24"/>
          <w:szCs w:val="24"/>
        </w:rPr>
        <w:t xml:space="preserve"> </w:t>
      </w:r>
      <w:r w:rsidR="00FE4448" w:rsidRPr="00424846">
        <w:rPr>
          <w:rFonts w:ascii="Arial" w:hAnsi="Arial" w:cs="Arial"/>
          <w:sz w:val="24"/>
          <w:szCs w:val="24"/>
        </w:rPr>
        <w:t>will be accepted</w:t>
      </w:r>
      <w:r w:rsidR="004C732D" w:rsidRPr="00424846">
        <w:rPr>
          <w:rFonts w:ascii="Arial" w:hAnsi="Arial" w:cs="Arial"/>
          <w:sz w:val="24"/>
          <w:szCs w:val="24"/>
        </w:rPr>
        <w:t>, h</w:t>
      </w:r>
      <w:r w:rsidR="00FE4448" w:rsidRPr="00424846">
        <w:rPr>
          <w:rFonts w:ascii="Arial" w:hAnsi="Arial" w:cs="Arial"/>
          <w:sz w:val="24"/>
          <w:szCs w:val="24"/>
        </w:rPr>
        <w:t xml:space="preserve">as led to the resounding answer that it will not be allowed, as stated above by Lord Bingham. Therefore, </w:t>
      </w:r>
      <w:r w:rsidR="00F0205F" w:rsidRPr="00424846">
        <w:rPr>
          <w:rFonts w:ascii="Arial" w:hAnsi="Arial" w:cs="Arial"/>
          <w:sz w:val="24"/>
          <w:szCs w:val="24"/>
        </w:rPr>
        <w:t>the</w:t>
      </w:r>
      <w:r w:rsidR="00FE14AC" w:rsidRPr="00424846">
        <w:rPr>
          <w:rFonts w:ascii="Arial" w:hAnsi="Arial" w:cs="Arial"/>
          <w:sz w:val="24"/>
          <w:szCs w:val="24"/>
        </w:rPr>
        <w:t xml:space="preserve"> </w:t>
      </w:r>
      <w:r w:rsidR="004E156E" w:rsidRPr="00424846">
        <w:rPr>
          <w:rFonts w:ascii="Arial" w:hAnsi="Arial" w:cs="Arial"/>
          <w:sz w:val="24"/>
          <w:szCs w:val="24"/>
        </w:rPr>
        <w:t>anti-torture stance</w:t>
      </w:r>
      <w:r w:rsidR="00FE4448" w:rsidRPr="00424846">
        <w:rPr>
          <w:rFonts w:ascii="Arial" w:hAnsi="Arial" w:cs="Arial"/>
          <w:sz w:val="24"/>
          <w:szCs w:val="24"/>
        </w:rPr>
        <w:t xml:space="preserve"> </w:t>
      </w:r>
      <w:r w:rsidR="004E156E" w:rsidRPr="00424846">
        <w:rPr>
          <w:rFonts w:ascii="Arial" w:hAnsi="Arial" w:cs="Arial"/>
          <w:sz w:val="24"/>
          <w:szCs w:val="24"/>
        </w:rPr>
        <w:t xml:space="preserve">the </w:t>
      </w:r>
      <w:r w:rsidR="00F0205F" w:rsidRPr="00424846">
        <w:rPr>
          <w:rFonts w:ascii="Arial" w:hAnsi="Arial" w:cs="Arial"/>
          <w:sz w:val="24"/>
          <w:szCs w:val="24"/>
        </w:rPr>
        <w:t xml:space="preserve">UK has had </w:t>
      </w:r>
      <w:r w:rsidR="004E156E" w:rsidRPr="00424846">
        <w:rPr>
          <w:rFonts w:ascii="Arial" w:hAnsi="Arial" w:cs="Arial"/>
          <w:sz w:val="24"/>
          <w:szCs w:val="24"/>
        </w:rPr>
        <w:t>for several decades</w:t>
      </w:r>
      <w:r w:rsidR="00FE4448" w:rsidRPr="00424846">
        <w:rPr>
          <w:rFonts w:ascii="Arial" w:hAnsi="Arial" w:cs="Arial"/>
          <w:sz w:val="24"/>
          <w:szCs w:val="24"/>
        </w:rPr>
        <w:t xml:space="preserve">, </w:t>
      </w:r>
      <w:r w:rsidR="00C45044" w:rsidRPr="00424846">
        <w:rPr>
          <w:rFonts w:ascii="Arial" w:hAnsi="Arial" w:cs="Arial"/>
          <w:sz w:val="24"/>
          <w:szCs w:val="24"/>
        </w:rPr>
        <w:t>has not been watered down</w:t>
      </w:r>
      <w:r w:rsidR="00F0205F" w:rsidRPr="00424846">
        <w:rPr>
          <w:rFonts w:ascii="Arial" w:hAnsi="Arial" w:cs="Arial"/>
          <w:sz w:val="24"/>
          <w:szCs w:val="24"/>
        </w:rPr>
        <w:t xml:space="preserve"> </w:t>
      </w:r>
      <w:r w:rsidR="00FE4448" w:rsidRPr="00424846">
        <w:rPr>
          <w:rFonts w:ascii="Arial" w:hAnsi="Arial" w:cs="Arial"/>
          <w:sz w:val="24"/>
          <w:szCs w:val="24"/>
        </w:rPr>
        <w:t xml:space="preserve">and will unlikely to </w:t>
      </w:r>
      <w:r w:rsidR="00493E1C" w:rsidRPr="00424846">
        <w:rPr>
          <w:rFonts w:ascii="Arial" w:hAnsi="Arial" w:cs="Arial"/>
          <w:sz w:val="24"/>
          <w:szCs w:val="24"/>
        </w:rPr>
        <w:t>ever be</w:t>
      </w:r>
      <w:r w:rsidR="00FE4448" w:rsidRPr="00424846">
        <w:rPr>
          <w:rFonts w:ascii="Arial" w:hAnsi="Arial" w:cs="Arial"/>
          <w:sz w:val="24"/>
          <w:szCs w:val="24"/>
        </w:rPr>
        <w:t xml:space="preserve">. </w:t>
      </w:r>
    </w:p>
    <w:p w14:paraId="5E90C159" w14:textId="5E7EA32E" w:rsidR="00F9369C" w:rsidRPr="00424846" w:rsidRDefault="004E156E" w:rsidP="00862139">
      <w:pPr>
        <w:spacing w:line="480" w:lineRule="auto"/>
        <w:jc w:val="both"/>
        <w:rPr>
          <w:rFonts w:ascii="Arial" w:hAnsi="Arial" w:cs="Arial"/>
          <w:sz w:val="24"/>
          <w:szCs w:val="24"/>
        </w:rPr>
      </w:pPr>
      <w:r w:rsidRPr="00424846">
        <w:rPr>
          <w:rFonts w:ascii="Arial" w:hAnsi="Arial" w:cs="Arial"/>
          <w:sz w:val="24"/>
          <w:szCs w:val="24"/>
        </w:rPr>
        <w:t>The period of the ‘war on terror’</w:t>
      </w:r>
      <w:r w:rsidR="00FE4448" w:rsidRPr="00424846">
        <w:rPr>
          <w:rFonts w:ascii="Arial" w:hAnsi="Arial" w:cs="Arial"/>
          <w:sz w:val="24"/>
          <w:szCs w:val="24"/>
        </w:rPr>
        <w:t xml:space="preserve"> </w:t>
      </w:r>
      <w:r w:rsidRPr="00424846">
        <w:rPr>
          <w:rFonts w:ascii="Arial" w:hAnsi="Arial" w:cs="Arial"/>
          <w:sz w:val="24"/>
          <w:szCs w:val="24"/>
        </w:rPr>
        <w:t xml:space="preserve">significantly </w:t>
      </w:r>
      <w:r w:rsidR="005F1C24" w:rsidRPr="00424846">
        <w:rPr>
          <w:rFonts w:ascii="Arial" w:hAnsi="Arial" w:cs="Arial"/>
          <w:sz w:val="24"/>
          <w:szCs w:val="24"/>
        </w:rPr>
        <w:t xml:space="preserve">impacted </w:t>
      </w:r>
      <w:r w:rsidR="00FE4448" w:rsidRPr="00424846">
        <w:rPr>
          <w:rFonts w:ascii="Arial" w:hAnsi="Arial" w:cs="Arial"/>
          <w:sz w:val="24"/>
          <w:szCs w:val="24"/>
        </w:rPr>
        <w:t>the application of the HRA</w:t>
      </w:r>
      <w:r w:rsidR="00493E1C" w:rsidRPr="00424846">
        <w:rPr>
          <w:rFonts w:ascii="Arial" w:hAnsi="Arial" w:cs="Arial"/>
          <w:sz w:val="24"/>
          <w:szCs w:val="24"/>
        </w:rPr>
        <w:t xml:space="preserve"> (as seen in the case of Abu Qatada)</w:t>
      </w:r>
      <w:r w:rsidR="005F1C24" w:rsidRPr="00424846">
        <w:rPr>
          <w:rFonts w:ascii="Arial" w:hAnsi="Arial" w:cs="Arial"/>
          <w:sz w:val="24"/>
          <w:szCs w:val="24"/>
        </w:rPr>
        <w:t xml:space="preserve">, </w:t>
      </w:r>
      <w:r w:rsidR="00493E1C" w:rsidRPr="00424846">
        <w:rPr>
          <w:rFonts w:ascii="Arial" w:hAnsi="Arial" w:cs="Arial"/>
          <w:sz w:val="24"/>
          <w:szCs w:val="24"/>
        </w:rPr>
        <w:t>where a</w:t>
      </w:r>
      <w:r w:rsidR="005F1C24" w:rsidRPr="00424846">
        <w:rPr>
          <w:rFonts w:ascii="Arial" w:hAnsi="Arial" w:cs="Arial"/>
          <w:sz w:val="24"/>
          <w:szCs w:val="24"/>
        </w:rPr>
        <w:t xml:space="preserve"> balance must now be struck between protecting the rights of the individual </w:t>
      </w:r>
      <w:r w:rsidR="00493E1C" w:rsidRPr="00424846">
        <w:rPr>
          <w:rFonts w:ascii="Arial" w:hAnsi="Arial" w:cs="Arial"/>
          <w:sz w:val="24"/>
          <w:szCs w:val="24"/>
        </w:rPr>
        <w:t xml:space="preserve">and </w:t>
      </w:r>
      <w:r w:rsidR="005F1C24" w:rsidRPr="00424846">
        <w:rPr>
          <w:rFonts w:ascii="Arial" w:hAnsi="Arial" w:cs="Arial"/>
          <w:sz w:val="24"/>
          <w:szCs w:val="24"/>
        </w:rPr>
        <w:t>public interest</w:t>
      </w:r>
      <w:r w:rsidR="00493E1C" w:rsidRPr="00424846">
        <w:rPr>
          <w:rFonts w:ascii="Arial" w:hAnsi="Arial" w:cs="Arial"/>
          <w:sz w:val="24"/>
          <w:szCs w:val="24"/>
        </w:rPr>
        <w:t xml:space="preserve"> (especially</w:t>
      </w:r>
      <w:r w:rsidR="00FE4448" w:rsidRPr="00424846">
        <w:rPr>
          <w:rFonts w:ascii="Arial" w:hAnsi="Arial" w:cs="Arial"/>
          <w:sz w:val="24"/>
          <w:szCs w:val="24"/>
        </w:rPr>
        <w:t xml:space="preserve"> </w:t>
      </w:r>
      <w:r w:rsidR="00493E1C" w:rsidRPr="00424846">
        <w:rPr>
          <w:rFonts w:ascii="Arial" w:hAnsi="Arial" w:cs="Arial"/>
          <w:sz w:val="24"/>
          <w:szCs w:val="24"/>
        </w:rPr>
        <w:t>considering</w:t>
      </w:r>
      <w:r w:rsidR="00FE4448" w:rsidRPr="00424846">
        <w:rPr>
          <w:rFonts w:ascii="Arial" w:hAnsi="Arial" w:cs="Arial"/>
          <w:sz w:val="24"/>
          <w:szCs w:val="24"/>
        </w:rPr>
        <w:t xml:space="preserve"> </w:t>
      </w:r>
      <w:r w:rsidR="00CF0F86" w:rsidRPr="00424846">
        <w:rPr>
          <w:rFonts w:ascii="Arial" w:hAnsi="Arial" w:cs="Arial"/>
          <w:sz w:val="24"/>
          <w:szCs w:val="24"/>
        </w:rPr>
        <w:t xml:space="preserve">the security threat </w:t>
      </w:r>
      <w:r w:rsidR="00FE4448" w:rsidRPr="00424846">
        <w:rPr>
          <w:rFonts w:ascii="Arial" w:hAnsi="Arial" w:cs="Arial"/>
          <w:sz w:val="24"/>
          <w:szCs w:val="24"/>
        </w:rPr>
        <w:t xml:space="preserve">9/11 and 7/7 </w:t>
      </w:r>
      <w:r w:rsidR="00CF0F86" w:rsidRPr="00424846">
        <w:rPr>
          <w:rFonts w:ascii="Arial" w:hAnsi="Arial" w:cs="Arial"/>
          <w:sz w:val="24"/>
          <w:szCs w:val="24"/>
        </w:rPr>
        <w:t>posed</w:t>
      </w:r>
      <w:r w:rsidR="00493E1C" w:rsidRPr="00424846">
        <w:rPr>
          <w:rFonts w:ascii="Arial" w:hAnsi="Arial" w:cs="Arial"/>
          <w:sz w:val="24"/>
          <w:szCs w:val="24"/>
        </w:rPr>
        <w:t xml:space="preserve">). </w:t>
      </w:r>
      <w:r w:rsidR="00B017D7" w:rsidRPr="00424846">
        <w:rPr>
          <w:rFonts w:ascii="Arial" w:hAnsi="Arial" w:cs="Arial"/>
          <w:sz w:val="24"/>
          <w:szCs w:val="24"/>
        </w:rPr>
        <w:t>So,</w:t>
      </w:r>
      <w:r w:rsidR="00CF0F86" w:rsidRPr="00424846">
        <w:rPr>
          <w:rFonts w:ascii="Arial" w:hAnsi="Arial" w:cs="Arial"/>
          <w:sz w:val="24"/>
          <w:szCs w:val="24"/>
        </w:rPr>
        <w:t xml:space="preserve"> </w:t>
      </w:r>
      <w:r w:rsidR="00FE4448" w:rsidRPr="00424846">
        <w:rPr>
          <w:rFonts w:ascii="Arial" w:hAnsi="Arial" w:cs="Arial"/>
          <w:sz w:val="24"/>
          <w:szCs w:val="24"/>
        </w:rPr>
        <w:t xml:space="preserve">despite, the </w:t>
      </w:r>
      <w:r w:rsidR="000108C7" w:rsidRPr="00424846">
        <w:rPr>
          <w:rFonts w:ascii="Arial" w:hAnsi="Arial" w:cs="Arial"/>
          <w:sz w:val="24"/>
          <w:szCs w:val="24"/>
        </w:rPr>
        <w:t>deportation of Abu Qatada</w:t>
      </w:r>
      <w:r w:rsidR="00493E1C" w:rsidRPr="00424846">
        <w:rPr>
          <w:rFonts w:ascii="Arial" w:hAnsi="Arial" w:cs="Arial"/>
          <w:sz w:val="24"/>
          <w:szCs w:val="24"/>
        </w:rPr>
        <w:t>, which can be considered an outlier amongst</w:t>
      </w:r>
      <w:r w:rsidR="000108C7" w:rsidRPr="00424846">
        <w:rPr>
          <w:rFonts w:ascii="Arial" w:hAnsi="Arial" w:cs="Arial"/>
          <w:sz w:val="24"/>
          <w:szCs w:val="24"/>
        </w:rPr>
        <w:t xml:space="preserve"> most cases, judgements</w:t>
      </w:r>
      <w:r w:rsidR="00493E1C" w:rsidRPr="00424846">
        <w:rPr>
          <w:rFonts w:ascii="Arial" w:hAnsi="Arial" w:cs="Arial"/>
          <w:sz w:val="24"/>
          <w:szCs w:val="24"/>
        </w:rPr>
        <w:t xml:space="preserve">, </w:t>
      </w:r>
      <w:r w:rsidR="00CF0F86" w:rsidRPr="00424846">
        <w:rPr>
          <w:rFonts w:ascii="Arial" w:hAnsi="Arial" w:cs="Arial"/>
          <w:sz w:val="24"/>
          <w:szCs w:val="24"/>
        </w:rPr>
        <w:t xml:space="preserve">appeal judgements and statutory </w:t>
      </w:r>
      <w:r w:rsidR="000108C7" w:rsidRPr="00424846">
        <w:rPr>
          <w:rFonts w:ascii="Arial" w:hAnsi="Arial" w:cs="Arial"/>
          <w:sz w:val="24"/>
          <w:szCs w:val="24"/>
        </w:rPr>
        <w:t>provisions point away from reinstating judicial torture and towards protecting individual</w:t>
      </w:r>
      <w:r w:rsidR="00CF0F86" w:rsidRPr="00424846">
        <w:rPr>
          <w:rFonts w:ascii="Arial" w:hAnsi="Arial" w:cs="Arial"/>
          <w:sz w:val="24"/>
          <w:szCs w:val="24"/>
        </w:rPr>
        <w:t>’</w:t>
      </w:r>
      <w:r w:rsidR="000108C7" w:rsidRPr="00424846">
        <w:rPr>
          <w:rFonts w:ascii="Arial" w:hAnsi="Arial" w:cs="Arial"/>
          <w:sz w:val="24"/>
          <w:szCs w:val="24"/>
        </w:rPr>
        <w:t xml:space="preserve">s right to a fair trial. </w:t>
      </w:r>
    </w:p>
    <w:p w14:paraId="27C0D6A4" w14:textId="57E1B55B" w:rsidR="007F543F" w:rsidRDefault="007F543F" w:rsidP="00862139">
      <w:pPr>
        <w:spacing w:line="480" w:lineRule="auto"/>
        <w:jc w:val="both"/>
        <w:rPr>
          <w:rFonts w:ascii="Arial" w:hAnsi="Arial" w:cs="Arial"/>
          <w:sz w:val="24"/>
          <w:szCs w:val="24"/>
        </w:rPr>
      </w:pPr>
    </w:p>
    <w:p w14:paraId="08F748C4" w14:textId="11AF3F7A" w:rsidR="00B017D7" w:rsidRDefault="00B017D7" w:rsidP="00862139">
      <w:pPr>
        <w:spacing w:line="480" w:lineRule="auto"/>
        <w:jc w:val="both"/>
        <w:rPr>
          <w:rFonts w:ascii="Arial" w:hAnsi="Arial" w:cs="Arial"/>
          <w:sz w:val="24"/>
          <w:szCs w:val="24"/>
        </w:rPr>
      </w:pPr>
    </w:p>
    <w:p w14:paraId="0B22EE9C" w14:textId="56288E7E" w:rsidR="00B017D7" w:rsidRDefault="00B017D7" w:rsidP="00862139">
      <w:pPr>
        <w:spacing w:line="480" w:lineRule="auto"/>
        <w:jc w:val="both"/>
        <w:rPr>
          <w:rFonts w:ascii="Arial" w:hAnsi="Arial" w:cs="Arial"/>
          <w:sz w:val="24"/>
          <w:szCs w:val="24"/>
        </w:rPr>
      </w:pPr>
    </w:p>
    <w:p w14:paraId="6CEF5DF9" w14:textId="35F5105F" w:rsidR="00B017D7" w:rsidRDefault="00B017D7" w:rsidP="00862139">
      <w:pPr>
        <w:spacing w:line="480" w:lineRule="auto"/>
        <w:jc w:val="both"/>
        <w:rPr>
          <w:rFonts w:ascii="Arial" w:hAnsi="Arial" w:cs="Arial"/>
          <w:sz w:val="24"/>
          <w:szCs w:val="24"/>
        </w:rPr>
      </w:pPr>
    </w:p>
    <w:p w14:paraId="1581CA2E" w14:textId="2F360CFF" w:rsidR="00B017D7" w:rsidRDefault="00B017D7" w:rsidP="00862139">
      <w:pPr>
        <w:spacing w:line="480" w:lineRule="auto"/>
        <w:jc w:val="both"/>
        <w:rPr>
          <w:rFonts w:ascii="Arial" w:hAnsi="Arial" w:cs="Arial"/>
          <w:sz w:val="24"/>
          <w:szCs w:val="24"/>
        </w:rPr>
      </w:pPr>
    </w:p>
    <w:p w14:paraId="479D54A6" w14:textId="79C53F1D" w:rsidR="00B017D7" w:rsidRDefault="00B017D7" w:rsidP="00862139">
      <w:pPr>
        <w:spacing w:line="480" w:lineRule="auto"/>
        <w:jc w:val="both"/>
        <w:rPr>
          <w:rFonts w:ascii="Arial" w:hAnsi="Arial" w:cs="Arial"/>
          <w:sz w:val="24"/>
          <w:szCs w:val="24"/>
        </w:rPr>
      </w:pPr>
    </w:p>
    <w:p w14:paraId="1F13416F" w14:textId="40C20994" w:rsidR="00B017D7" w:rsidRDefault="00B017D7" w:rsidP="00862139">
      <w:pPr>
        <w:spacing w:line="480" w:lineRule="auto"/>
        <w:jc w:val="both"/>
        <w:rPr>
          <w:rFonts w:ascii="Arial" w:hAnsi="Arial" w:cs="Arial"/>
          <w:sz w:val="24"/>
          <w:szCs w:val="24"/>
        </w:rPr>
      </w:pPr>
    </w:p>
    <w:p w14:paraId="6EF64CD4" w14:textId="77777777" w:rsidR="00B017D7" w:rsidRPr="00424846" w:rsidRDefault="00B017D7" w:rsidP="00862139">
      <w:pPr>
        <w:spacing w:line="480" w:lineRule="auto"/>
        <w:jc w:val="both"/>
        <w:rPr>
          <w:rFonts w:ascii="Arial" w:hAnsi="Arial" w:cs="Arial"/>
          <w:sz w:val="24"/>
          <w:szCs w:val="24"/>
        </w:rPr>
      </w:pPr>
    </w:p>
    <w:p w14:paraId="7CEE99F5" w14:textId="0929E848" w:rsidR="005B6723" w:rsidRPr="00B017D7" w:rsidRDefault="00066413" w:rsidP="00B017D7">
      <w:pPr>
        <w:spacing w:line="480" w:lineRule="auto"/>
        <w:jc w:val="center"/>
        <w:rPr>
          <w:rFonts w:ascii="Arial" w:hAnsi="Arial" w:cs="Arial"/>
          <w:b/>
          <w:bCs/>
          <w:sz w:val="24"/>
          <w:szCs w:val="24"/>
          <w:u w:val="single"/>
        </w:rPr>
      </w:pPr>
      <w:r w:rsidRPr="00B017D7">
        <w:rPr>
          <w:rFonts w:ascii="Arial" w:hAnsi="Arial" w:cs="Arial"/>
          <w:b/>
          <w:bCs/>
          <w:sz w:val="24"/>
          <w:szCs w:val="24"/>
          <w:u w:val="single"/>
        </w:rPr>
        <w:t xml:space="preserve">International Law </w:t>
      </w:r>
      <w:r w:rsidR="0037250E" w:rsidRPr="00B017D7">
        <w:rPr>
          <w:rFonts w:ascii="Arial" w:hAnsi="Arial" w:cs="Arial"/>
          <w:b/>
          <w:bCs/>
          <w:sz w:val="24"/>
          <w:szCs w:val="24"/>
          <w:u w:val="single"/>
        </w:rPr>
        <w:t>on</w:t>
      </w:r>
      <w:r w:rsidRPr="00B017D7">
        <w:rPr>
          <w:rFonts w:ascii="Arial" w:hAnsi="Arial" w:cs="Arial"/>
          <w:b/>
          <w:bCs/>
          <w:sz w:val="24"/>
          <w:szCs w:val="24"/>
          <w:u w:val="single"/>
        </w:rPr>
        <w:t xml:space="preserve"> Torture:</w:t>
      </w:r>
    </w:p>
    <w:p w14:paraId="522ABA38" w14:textId="7C057EEC" w:rsidR="003977B7" w:rsidRPr="00424846" w:rsidRDefault="004E465B" w:rsidP="00862139">
      <w:pPr>
        <w:spacing w:line="480" w:lineRule="auto"/>
        <w:jc w:val="both"/>
        <w:rPr>
          <w:rFonts w:ascii="Arial" w:hAnsi="Arial" w:cs="Arial"/>
          <w:sz w:val="24"/>
          <w:szCs w:val="24"/>
        </w:rPr>
      </w:pPr>
      <w:r w:rsidRPr="00424846">
        <w:rPr>
          <w:rFonts w:ascii="Arial" w:hAnsi="Arial" w:cs="Arial"/>
          <w:sz w:val="24"/>
          <w:szCs w:val="24"/>
        </w:rPr>
        <w:t xml:space="preserve">Generally, </w:t>
      </w:r>
      <w:r w:rsidR="003867EB" w:rsidRPr="00424846">
        <w:rPr>
          <w:rFonts w:ascii="Arial" w:hAnsi="Arial" w:cs="Arial"/>
          <w:sz w:val="24"/>
          <w:szCs w:val="24"/>
        </w:rPr>
        <w:t>international treaties</w:t>
      </w:r>
      <w:r w:rsidR="00F964C4" w:rsidRPr="00424846">
        <w:rPr>
          <w:rFonts w:ascii="Arial" w:hAnsi="Arial" w:cs="Arial"/>
          <w:sz w:val="24"/>
          <w:szCs w:val="24"/>
        </w:rPr>
        <w:t xml:space="preserve">, conventions </w:t>
      </w:r>
      <w:r w:rsidR="008F0D7B" w:rsidRPr="00424846">
        <w:rPr>
          <w:rFonts w:ascii="Arial" w:hAnsi="Arial" w:cs="Arial"/>
          <w:sz w:val="24"/>
          <w:szCs w:val="24"/>
        </w:rPr>
        <w:t xml:space="preserve">and declarations, </w:t>
      </w:r>
      <w:r w:rsidR="003867EB" w:rsidRPr="00424846">
        <w:rPr>
          <w:rFonts w:ascii="Arial" w:hAnsi="Arial" w:cs="Arial"/>
          <w:sz w:val="24"/>
          <w:szCs w:val="24"/>
        </w:rPr>
        <w:t xml:space="preserve">like </w:t>
      </w:r>
      <w:r w:rsidRPr="00424846">
        <w:rPr>
          <w:rFonts w:ascii="Arial" w:hAnsi="Arial" w:cs="Arial"/>
          <w:sz w:val="24"/>
          <w:szCs w:val="24"/>
        </w:rPr>
        <w:t xml:space="preserve">the </w:t>
      </w:r>
      <w:r w:rsidR="008F0D7B" w:rsidRPr="00424846">
        <w:rPr>
          <w:rFonts w:ascii="Arial" w:hAnsi="Arial" w:cs="Arial"/>
          <w:sz w:val="24"/>
          <w:szCs w:val="24"/>
        </w:rPr>
        <w:t>European Convention of Human Rights</w:t>
      </w:r>
      <w:r w:rsidR="008F0D7B" w:rsidRPr="00424846">
        <w:rPr>
          <w:rStyle w:val="FootnoteReference"/>
          <w:rFonts w:ascii="Arial" w:hAnsi="Arial" w:cs="Arial"/>
          <w:sz w:val="24"/>
          <w:szCs w:val="24"/>
        </w:rPr>
        <w:footnoteReference w:id="77"/>
      </w:r>
      <w:r w:rsidR="008F0D7B" w:rsidRPr="00424846">
        <w:rPr>
          <w:rFonts w:ascii="Arial" w:hAnsi="Arial" w:cs="Arial"/>
          <w:sz w:val="24"/>
          <w:szCs w:val="24"/>
        </w:rPr>
        <w:t xml:space="preserve">, </w:t>
      </w:r>
      <w:r w:rsidRPr="00424846">
        <w:rPr>
          <w:rFonts w:ascii="Arial" w:hAnsi="Arial" w:cs="Arial"/>
          <w:sz w:val="24"/>
          <w:szCs w:val="24"/>
        </w:rPr>
        <w:t>United Nations</w:t>
      </w:r>
      <w:r w:rsidR="003867EB" w:rsidRPr="00424846">
        <w:rPr>
          <w:rFonts w:ascii="Arial" w:hAnsi="Arial" w:cs="Arial"/>
          <w:sz w:val="24"/>
          <w:szCs w:val="24"/>
        </w:rPr>
        <w:t xml:space="preserve"> Universal Declaration of Human Rights</w:t>
      </w:r>
      <w:r w:rsidR="00924AA0" w:rsidRPr="00424846">
        <w:rPr>
          <w:rStyle w:val="FootnoteReference"/>
          <w:rFonts w:ascii="Arial" w:hAnsi="Arial" w:cs="Arial"/>
          <w:sz w:val="24"/>
          <w:szCs w:val="24"/>
        </w:rPr>
        <w:footnoteReference w:id="78"/>
      </w:r>
      <w:r w:rsidRPr="00424846">
        <w:rPr>
          <w:rFonts w:ascii="Arial" w:hAnsi="Arial" w:cs="Arial"/>
          <w:sz w:val="24"/>
          <w:szCs w:val="24"/>
        </w:rPr>
        <w:t>, and the International Covenant on Civil and Political Rights</w:t>
      </w:r>
      <w:r w:rsidR="009B0C13" w:rsidRPr="00424846">
        <w:rPr>
          <w:rStyle w:val="FootnoteReference"/>
          <w:rFonts w:ascii="Arial" w:hAnsi="Arial" w:cs="Arial"/>
          <w:sz w:val="24"/>
          <w:szCs w:val="24"/>
        </w:rPr>
        <w:footnoteReference w:id="79"/>
      </w:r>
      <w:r w:rsidRPr="00424846">
        <w:rPr>
          <w:rFonts w:ascii="Arial" w:hAnsi="Arial" w:cs="Arial"/>
          <w:sz w:val="24"/>
          <w:szCs w:val="24"/>
        </w:rPr>
        <w:t xml:space="preserve"> set a</w:t>
      </w:r>
      <w:r w:rsidR="00033C5B" w:rsidRPr="00424846">
        <w:rPr>
          <w:rFonts w:ascii="Arial" w:hAnsi="Arial" w:cs="Arial"/>
          <w:sz w:val="24"/>
          <w:szCs w:val="24"/>
        </w:rPr>
        <w:t>n absolute</w:t>
      </w:r>
      <w:r w:rsidRPr="00424846">
        <w:rPr>
          <w:rFonts w:ascii="Arial" w:hAnsi="Arial" w:cs="Arial"/>
          <w:sz w:val="24"/>
          <w:szCs w:val="24"/>
        </w:rPr>
        <w:t xml:space="preserve"> prece</w:t>
      </w:r>
      <w:r w:rsidR="00033C5B" w:rsidRPr="00424846">
        <w:rPr>
          <w:rFonts w:ascii="Arial" w:hAnsi="Arial" w:cs="Arial"/>
          <w:sz w:val="24"/>
          <w:szCs w:val="24"/>
        </w:rPr>
        <w:t>dent that torture</w:t>
      </w:r>
      <w:r w:rsidR="00D76EDF" w:rsidRPr="00424846">
        <w:rPr>
          <w:rFonts w:ascii="Arial" w:hAnsi="Arial" w:cs="Arial"/>
          <w:sz w:val="24"/>
          <w:szCs w:val="24"/>
        </w:rPr>
        <w:t>, which is defined in the UN Convention against Torture</w:t>
      </w:r>
      <w:r w:rsidR="00615415" w:rsidRPr="00424846">
        <w:rPr>
          <w:rFonts w:ascii="Arial" w:hAnsi="Arial" w:cs="Arial"/>
          <w:sz w:val="24"/>
          <w:szCs w:val="24"/>
        </w:rPr>
        <w:t xml:space="preserve"> (UNCAT)</w:t>
      </w:r>
      <w:r w:rsidR="00D76EDF" w:rsidRPr="00424846">
        <w:rPr>
          <w:rFonts w:ascii="Arial" w:hAnsi="Arial" w:cs="Arial"/>
          <w:sz w:val="24"/>
          <w:szCs w:val="24"/>
        </w:rPr>
        <w:t xml:space="preserve">, as being </w:t>
      </w:r>
      <w:r w:rsidR="009C0593" w:rsidRPr="00424846">
        <w:rPr>
          <w:rFonts w:ascii="Arial" w:hAnsi="Arial" w:cs="Arial"/>
          <w:sz w:val="24"/>
          <w:szCs w:val="24"/>
        </w:rPr>
        <w:t>‘</w:t>
      </w:r>
      <w:r w:rsidR="006C6319" w:rsidRPr="00424846">
        <w:rPr>
          <w:rFonts w:ascii="Arial" w:hAnsi="Arial" w:cs="Arial"/>
          <w:sz w:val="24"/>
          <w:szCs w:val="24"/>
        </w:rPr>
        <w:t>any act which intentionally causes severe pain</w:t>
      </w:r>
      <w:r w:rsidR="00A2079A" w:rsidRPr="00424846">
        <w:rPr>
          <w:rFonts w:ascii="Arial" w:hAnsi="Arial" w:cs="Arial"/>
          <w:sz w:val="24"/>
          <w:szCs w:val="24"/>
        </w:rPr>
        <w:t>…</w:t>
      </w:r>
      <w:r w:rsidR="006C6319" w:rsidRPr="00424846">
        <w:rPr>
          <w:rFonts w:ascii="Arial" w:hAnsi="Arial" w:cs="Arial"/>
          <w:sz w:val="24"/>
          <w:szCs w:val="24"/>
        </w:rPr>
        <w:t>(physical or mental)</w:t>
      </w:r>
      <w:r w:rsidR="00A2079A" w:rsidRPr="00424846">
        <w:rPr>
          <w:rFonts w:ascii="Arial" w:hAnsi="Arial" w:cs="Arial"/>
          <w:sz w:val="24"/>
          <w:szCs w:val="24"/>
        </w:rPr>
        <w:t>…</w:t>
      </w:r>
      <w:r w:rsidR="006C6319" w:rsidRPr="00424846">
        <w:rPr>
          <w:rFonts w:ascii="Arial" w:hAnsi="Arial" w:cs="Arial"/>
          <w:sz w:val="24"/>
          <w:szCs w:val="24"/>
        </w:rPr>
        <w:t>for the purpose of obtaining evidence from them</w:t>
      </w:r>
      <w:r w:rsidR="009C0593" w:rsidRPr="00424846">
        <w:rPr>
          <w:rFonts w:ascii="Arial" w:hAnsi="Arial" w:cs="Arial"/>
          <w:sz w:val="24"/>
          <w:szCs w:val="24"/>
        </w:rPr>
        <w:t>… with the consent of a public official</w:t>
      </w:r>
      <w:r w:rsidR="00A2079A" w:rsidRPr="00424846">
        <w:rPr>
          <w:rFonts w:ascii="Arial" w:hAnsi="Arial" w:cs="Arial"/>
          <w:sz w:val="24"/>
          <w:szCs w:val="24"/>
        </w:rPr>
        <w:t>…</w:t>
      </w:r>
      <w:r w:rsidR="009C0593" w:rsidRPr="00424846">
        <w:rPr>
          <w:rFonts w:ascii="Arial" w:hAnsi="Arial" w:cs="Arial"/>
          <w:sz w:val="24"/>
          <w:szCs w:val="24"/>
        </w:rPr>
        <w:t>acting in an official capacity</w:t>
      </w:r>
      <w:r w:rsidR="00397B0B" w:rsidRPr="00424846">
        <w:rPr>
          <w:rFonts w:ascii="Arial" w:hAnsi="Arial" w:cs="Arial"/>
          <w:sz w:val="24"/>
          <w:szCs w:val="24"/>
        </w:rPr>
        <w:t>’</w:t>
      </w:r>
      <w:r w:rsidR="009C0593" w:rsidRPr="00424846">
        <w:rPr>
          <w:rFonts w:ascii="Arial" w:hAnsi="Arial" w:cs="Arial"/>
          <w:sz w:val="24"/>
          <w:szCs w:val="24"/>
        </w:rPr>
        <w:t>,</w:t>
      </w:r>
      <w:r w:rsidR="00397B0B" w:rsidRPr="00424846">
        <w:rPr>
          <w:rFonts w:ascii="Arial" w:hAnsi="Arial" w:cs="Arial"/>
          <w:sz w:val="24"/>
          <w:szCs w:val="24"/>
        </w:rPr>
        <w:t xml:space="preserve"> </w:t>
      </w:r>
      <w:r w:rsidR="003867EB" w:rsidRPr="00424846">
        <w:rPr>
          <w:rFonts w:ascii="Arial" w:hAnsi="Arial" w:cs="Arial"/>
          <w:sz w:val="24"/>
          <w:szCs w:val="24"/>
        </w:rPr>
        <w:t>will</w:t>
      </w:r>
      <w:r w:rsidR="00EF6AE7" w:rsidRPr="00424846">
        <w:rPr>
          <w:rFonts w:ascii="Arial" w:hAnsi="Arial" w:cs="Arial"/>
          <w:sz w:val="24"/>
          <w:szCs w:val="24"/>
        </w:rPr>
        <w:t xml:space="preserve"> never be</w:t>
      </w:r>
      <w:r w:rsidR="00A2079A" w:rsidRPr="00424846">
        <w:rPr>
          <w:rFonts w:ascii="Arial" w:hAnsi="Arial" w:cs="Arial"/>
          <w:sz w:val="24"/>
          <w:szCs w:val="24"/>
        </w:rPr>
        <w:t xml:space="preserve"> </w:t>
      </w:r>
      <w:r w:rsidR="00EF6AE7" w:rsidRPr="00424846">
        <w:rPr>
          <w:rFonts w:ascii="Arial" w:hAnsi="Arial" w:cs="Arial"/>
          <w:sz w:val="24"/>
          <w:szCs w:val="24"/>
        </w:rPr>
        <w:t>allowed under any circumstance</w:t>
      </w:r>
      <w:r w:rsidR="009F072C" w:rsidRPr="00424846">
        <w:rPr>
          <w:rFonts w:ascii="Arial" w:hAnsi="Arial" w:cs="Arial"/>
          <w:sz w:val="24"/>
          <w:szCs w:val="24"/>
        </w:rPr>
        <w:t>s</w:t>
      </w:r>
      <w:r w:rsidR="00837D93" w:rsidRPr="00424846">
        <w:rPr>
          <w:rStyle w:val="FootnoteReference"/>
          <w:rFonts w:ascii="Arial" w:hAnsi="Arial" w:cs="Arial"/>
          <w:sz w:val="24"/>
          <w:szCs w:val="24"/>
        </w:rPr>
        <w:footnoteReference w:id="80"/>
      </w:r>
      <w:r w:rsidR="003867EB" w:rsidRPr="00424846">
        <w:rPr>
          <w:rFonts w:ascii="Arial" w:hAnsi="Arial" w:cs="Arial"/>
          <w:sz w:val="24"/>
          <w:szCs w:val="24"/>
        </w:rPr>
        <w:t xml:space="preserve">, </w:t>
      </w:r>
      <w:r w:rsidR="00F964C4" w:rsidRPr="00424846">
        <w:rPr>
          <w:rFonts w:ascii="Arial" w:hAnsi="Arial" w:cs="Arial"/>
          <w:sz w:val="24"/>
          <w:szCs w:val="24"/>
        </w:rPr>
        <w:t>(</w:t>
      </w:r>
      <w:r w:rsidR="003867EB" w:rsidRPr="00424846">
        <w:rPr>
          <w:rFonts w:ascii="Arial" w:hAnsi="Arial" w:cs="Arial"/>
          <w:sz w:val="24"/>
          <w:szCs w:val="24"/>
        </w:rPr>
        <w:t xml:space="preserve">including </w:t>
      </w:r>
      <w:r w:rsidR="00C739D1" w:rsidRPr="00424846">
        <w:rPr>
          <w:rFonts w:ascii="Arial" w:hAnsi="Arial" w:cs="Arial"/>
          <w:sz w:val="24"/>
          <w:szCs w:val="24"/>
        </w:rPr>
        <w:t>war</w:t>
      </w:r>
      <w:r w:rsidR="00837D93" w:rsidRPr="00424846">
        <w:rPr>
          <w:rStyle w:val="FootnoteReference"/>
          <w:rFonts w:ascii="Arial" w:hAnsi="Arial" w:cs="Arial"/>
          <w:sz w:val="24"/>
          <w:szCs w:val="24"/>
        </w:rPr>
        <w:footnoteReference w:id="81"/>
      </w:r>
      <w:r w:rsidR="00C739D1" w:rsidRPr="00424846">
        <w:rPr>
          <w:rFonts w:ascii="Arial" w:hAnsi="Arial" w:cs="Arial"/>
          <w:sz w:val="24"/>
          <w:szCs w:val="24"/>
        </w:rPr>
        <w:t>, public emergency</w:t>
      </w:r>
      <w:r w:rsidR="00A2079A" w:rsidRPr="00424846">
        <w:rPr>
          <w:rFonts w:ascii="Arial" w:hAnsi="Arial" w:cs="Arial"/>
          <w:sz w:val="24"/>
          <w:szCs w:val="24"/>
        </w:rPr>
        <w:t xml:space="preserve"> or </w:t>
      </w:r>
      <w:r w:rsidR="00C739D1" w:rsidRPr="00424846">
        <w:rPr>
          <w:rFonts w:ascii="Arial" w:hAnsi="Arial" w:cs="Arial"/>
          <w:sz w:val="24"/>
          <w:szCs w:val="24"/>
        </w:rPr>
        <w:t>terrorist act</w:t>
      </w:r>
      <w:r w:rsidR="00890019" w:rsidRPr="00424846">
        <w:rPr>
          <w:rStyle w:val="FootnoteReference"/>
          <w:rFonts w:ascii="Arial" w:hAnsi="Arial" w:cs="Arial"/>
          <w:sz w:val="24"/>
          <w:szCs w:val="24"/>
        </w:rPr>
        <w:footnoteReference w:id="82"/>
      </w:r>
      <w:r w:rsidR="00F964C4" w:rsidRPr="00424846">
        <w:rPr>
          <w:rFonts w:ascii="Arial" w:hAnsi="Arial" w:cs="Arial"/>
          <w:sz w:val="24"/>
          <w:szCs w:val="24"/>
        </w:rPr>
        <w:t>)</w:t>
      </w:r>
      <w:r w:rsidR="009F072C" w:rsidRPr="00424846">
        <w:rPr>
          <w:rFonts w:ascii="Arial" w:hAnsi="Arial" w:cs="Arial"/>
          <w:sz w:val="24"/>
          <w:szCs w:val="24"/>
        </w:rPr>
        <w:t xml:space="preserve">. </w:t>
      </w:r>
      <w:r w:rsidR="003977B7" w:rsidRPr="00424846">
        <w:rPr>
          <w:rFonts w:ascii="Arial" w:hAnsi="Arial" w:cs="Arial"/>
          <w:sz w:val="24"/>
          <w:szCs w:val="24"/>
        </w:rPr>
        <w:t>The prohibition of torture has commonly been described as customary international law</w:t>
      </w:r>
      <w:r w:rsidR="003977B7" w:rsidRPr="00424846">
        <w:rPr>
          <w:rStyle w:val="FootnoteReference"/>
          <w:rFonts w:ascii="Arial" w:hAnsi="Arial" w:cs="Arial"/>
          <w:sz w:val="24"/>
          <w:szCs w:val="24"/>
        </w:rPr>
        <w:footnoteReference w:id="83"/>
      </w:r>
      <w:r w:rsidR="003977B7" w:rsidRPr="00424846">
        <w:rPr>
          <w:rFonts w:ascii="Arial" w:hAnsi="Arial" w:cs="Arial"/>
          <w:sz w:val="24"/>
          <w:szCs w:val="24"/>
        </w:rPr>
        <w:t>, as countries are ultimately bound by it, irrespective of its ratification.</w:t>
      </w:r>
    </w:p>
    <w:p w14:paraId="7282F7FC" w14:textId="7C635EF7" w:rsidR="004B711C" w:rsidRPr="00424846" w:rsidRDefault="003F551B" w:rsidP="00862139">
      <w:pPr>
        <w:spacing w:line="480" w:lineRule="auto"/>
        <w:jc w:val="both"/>
        <w:rPr>
          <w:rFonts w:ascii="Arial" w:hAnsi="Arial" w:cs="Arial"/>
          <w:sz w:val="24"/>
          <w:szCs w:val="24"/>
        </w:rPr>
      </w:pPr>
      <w:r w:rsidRPr="00424846">
        <w:rPr>
          <w:rFonts w:ascii="Arial" w:hAnsi="Arial" w:cs="Arial"/>
          <w:sz w:val="24"/>
          <w:szCs w:val="24"/>
        </w:rPr>
        <w:t xml:space="preserve">The cases of </w:t>
      </w:r>
      <w:bookmarkStart w:id="59" w:name="_Hlk36154395"/>
      <w:r w:rsidRPr="00424846">
        <w:rPr>
          <w:rFonts w:ascii="Arial" w:hAnsi="Arial" w:cs="Arial"/>
          <w:sz w:val="24"/>
          <w:szCs w:val="24"/>
        </w:rPr>
        <w:t>Yuzepchuk v Belarus</w:t>
      </w:r>
      <w:bookmarkEnd w:id="59"/>
      <w:r w:rsidRPr="00424846">
        <w:rPr>
          <w:rStyle w:val="FootnoteReference"/>
          <w:rFonts w:ascii="Arial" w:hAnsi="Arial" w:cs="Arial"/>
          <w:sz w:val="24"/>
          <w:szCs w:val="24"/>
        </w:rPr>
        <w:footnoteReference w:id="84"/>
      </w:r>
      <w:r w:rsidRPr="00424846">
        <w:rPr>
          <w:rFonts w:ascii="Arial" w:hAnsi="Arial" w:cs="Arial"/>
          <w:sz w:val="24"/>
          <w:szCs w:val="24"/>
        </w:rPr>
        <w:t xml:space="preserve"> and Kitenge v Democratic Republic of Congo</w:t>
      </w:r>
      <w:r w:rsidRPr="00424846">
        <w:rPr>
          <w:rStyle w:val="FootnoteReference"/>
          <w:rFonts w:ascii="Arial" w:hAnsi="Arial" w:cs="Arial"/>
          <w:sz w:val="24"/>
          <w:szCs w:val="24"/>
        </w:rPr>
        <w:footnoteReference w:id="85"/>
      </w:r>
      <w:r w:rsidRPr="00424846">
        <w:rPr>
          <w:rFonts w:ascii="Arial" w:hAnsi="Arial" w:cs="Arial"/>
          <w:sz w:val="24"/>
          <w:szCs w:val="24"/>
        </w:rPr>
        <w:t xml:space="preserve"> indi</w:t>
      </w:r>
      <w:r w:rsidR="001D4D62" w:rsidRPr="00424846">
        <w:rPr>
          <w:rFonts w:ascii="Arial" w:hAnsi="Arial" w:cs="Arial"/>
          <w:sz w:val="24"/>
          <w:szCs w:val="24"/>
        </w:rPr>
        <w:t>cates the no</w:t>
      </w:r>
      <w:r w:rsidR="005F1C94" w:rsidRPr="00424846">
        <w:rPr>
          <w:rFonts w:ascii="Arial" w:hAnsi="Arial" w:cs="Arial"/>
          <w:sz w:val="24"/>
          <w:szCs w:val="24"/>
        </w:rPr>
        <w:t>-</w:t>
      </w:r>
      <w:r w:rsidR="001D4D62" w:rsidRPr="00424846">
        <w:rPr>
          <w:rFonts w:ascii="Arial" w:hAnsi="Arial" w:cs="Arial"/>
          <w:sz w:val="24"/>
          <w:szCs w:val="24"/>
        </w:rPr>
        <w:t xml:space="preserve">tolerance approach </w:t>
      </w:r>
      <w:r w:rsidRPr="00424846">
        <w:rPr>
          <w:rFonts w:ascii="Arial" w:hAnsi="Arial" w:cs="Arial"/>
          <w:sz w:val="24"/>
          <w:szCs w:val="24"/>
        </w:rPr>
        <w:t xml:space="preserve">international institutions have taken </w:t>
      </w:r>
      <w:r w:rsidR="001D4D62" w:rsidRPr="00424846">
        <w:rPr>
          <w:rFonts w:ascii="Arial" w:hAnsi="Arial" w:cs="Arial"/>
          <w:sz w:val="24"/>
          <w:szCs w:val="24"/>
        </w:rPr>
        <w:t>towards</w:t>
      </w:r>
      <w:r w:rsidRPr="00424846">
        <w:rPr>
          <w:rFonts w:ascii="Arial" w:hAnsi="Arial" w:cs="Arial"/>
          <w:sz w:val="24"/>
          <w:szCs w:val="24"/>
        </w:rPr>
        <w:t xml:space="preserve"> </w:t>
      </w:r>
      <w:r w:rsidR="008F0D7B" w:rsidRPr="00424846">
        <w:rPr>
          <w:rFonts w:ascii="Arial" w:hAnsi="Arial" w:cs="Arial"/>
          <w:sz w:val="24"/>
          <w:szCs w:val="24"/>
        </w:rPr>
        <w:t xml:space="preserve">the state’s use of </w:t>
      </w:r>
      <w:r w:rsidRPr="00424846">
        <w:rPr>
          <w:rFonts w:ascii="Arial" w:hAnsi="Arial" w:cs="Arial"/>
          <w:sz w:val="24"/>
          <w:szCs w:val="24"/>
        </w:rPr>
        <w:t>torture</w:t>
      </w:r>
      <w:r w:rsidR="00E11CD8" w:rsidRPr="00424846">
        <w:rPr>
          <w:rFonts w:ascii="Arial" w:hAnsi="Arial" w:cs="Arial"/>
          <w:sz w:val="24"/>
          <w:szCs w:val="24"/>
        </w:rPr>
        <w:t xml:space="preserve">. </w:t>
      </w:r>
      <w:r w:rsidR="009F072C" w:rsidRPr="00424846">
        <w:rPr>
          <w:rFonts w:ascii="Arial" w:hAnsi="Arial" w:cs="Arial"/>
          <w:sz w:val="24"/>
          <w:szCs w:val="24"/>
        </w:rPr>
        <w:t xml:space="preserve">These standards </w:t>
      </w:r>
      <w:r w:rsidR="008F0D7B" w:rsidRPr="00424846">
        <w:rPr>
          <w:rFonts w:ascii="Arial" w:hAnsi="Arial" w:cs="Arial"/>
          <w:sz w:val="24"/>
          <w:szCs w:val="24"/>
        </w:rPr>
        <w:t xml:space="preserve">have </w:t>
      </w:r>
      <w:r w:rsidR="009F072C" w:rsidRPr="00424846">
        <w:rPr>
          <w:rFonts w:ascii="Arial" w:hAnsi="Arial" w:cs="Arial"/>
          <w:sz w:val="24"/>
          <w:szCs w:val="24"/>
        </w:rPr>
        <w:t xml:space="preserve">set a </w:t>
      </w:r>
      <w:r w:rsidR="00FC01BE" w:rsidRPr="00424846">
        <w:rPr>
          <w:rFonts w:ascii="Arial" w:hAnsi="Arial" w:cs="Arial"/>
          <w:sz w:val="24"/>
          <w:szCs w:val="24"/>
        </w:rPr>
        <w:t>positive and negative obligation o</w:t>
      </w:r>
      <w:r w:rsidR="00D040BE" w:rsidRPr="00424846">
        <w:rPr>
          <w:rFonts w:ascii="Arial" w:hAnsi="Arial" w:cs="Arial"/>
          <w:sz w:val="24"/>
          <w:szCs w:val="24"/>
        </w:rPr>
        <w:t>n countries</w:t>
      </w:r>
      <w:r w:rsidR="00FC01BE" w:rsidRPr="00424846">
        <w:rPr>
          <w:rFonts w:ascii="Arial" w:hAnsi="Arial" w:cs="Arial"/>
          <w:sz w:val="24"/>
          <w:szCs w:val="24"/>
        </w:rPr>
        <w:t>, requir</w:t>
      </w:r>
      <w:r w:rsidR="00D040BE" w:rsidRPr="00424846">
        <w:rPr>
          <w:rFonts w:ascii="Arial" w:hAnsi="Arial" w:cs="Arial"/>
          <w:sz w:val="24"/>
          <w:szCs w:val="24"/>
        </w:rPr>
        <w:t>ing</w:t>
      </w:r>
      <w:r w:rsidR="00FC01BE" w:rsidRPr="00424846">
        <w:rPr>
          <w:rFonts w:ascii="Arial" w:hAnsi="Arial" w:cs="Arial"/>
          <w:sz w:val="24"/>
          <w:szCs w:val="24"/>
        </w:rPr>
        <w:t xml:space="preserve"> them to</w:t>
      </w:r>
      <w:r w:rsidR="008F0D7B" w:rsidRPr="00424846">
        <w:rPr>
          <w:rFonts w:ascii="Arial" w:hAnsi="Arial" w:cs="Arial"/>
          <w:sz w:val="24"/>
          <w:szCs w:val="24"/>
        </w:rPr>
        <w:t xml:space="preserve">, </w:t>
      </w:r>
      <w:r w:rsidR="00EA2566" w:rsidRPr="00424846">
        <w:rPr>
          <w:rFonts w:ascii="Arial" w:hAnsi="Arial" w:cs="Arial"/>
          <w:sz w:val="24"/>
          <w:szCs w:val="24"/>
        </w:rPr>
        <w:t xml:space="preserve">firstly, </w:t>
      </w:r>
      <w:r w:rsidR="009F072C" w:rsidRPr="00424846">
        <w:rPr>
          <w:rFonts w:ascii="Arial" w:hAnsi="Arial" w:cs="Arial"/>
          <w:sz w:val="24"/>
          <w:szCs w:val="24"/>
        </w:rPr>
        <w:t>illegalise</w:t>
      </w:r>
      <w:r w:rsidR="00FC01BE" w:rsidRPr="00424846">
        <w:rPr>
          <w:rFonts w:ascii="Arial" w:hAnsi="Arial" w:cs="Arial"/>
          <w:sz w:val="24"/>
          <w:szCs w:val="24"/>
        </w:rPr>
        <w:t xml:space="preserve"> </w:t>
      </w:r>
      <w:r w:rsidR="009F072C" w:rsidRPr="00424846">
        <w:rPr>
          <w:rFonts w:ascii="Arial" w:hAnsi="Arial" w:cs="Arial"/>
          <w:sz w:val="24"/>
          <w:szCs w:val="24"/>
        </w:rPr>
        <w:t>torture in domestic law</w:t>
      </w:r>
      <w:r w:rsidR="00FC01BE" w:rsidRPr="00424846">
        <w:rPr>
          <w:rFonts w:ascii="Arial" w:hAnsi="Arial" w:cs="Arial"/>
          <w:sz w:val="24"/>
          <w:szCs w:val="24"/>
        </w:rPr>
        <w:t xml:space="preserve">, </w:t>
      </w:r>
      <w:r w:rsidR="002647EE" w:rsidRPr="00424846">
        <w:rPr>
          <w:rFonts w:ascii="Arial" w:hAnsi="Arial" w:cs="Arial"/>
          <w:sz w:val="24"/>
          <w:szCs w:val="24"/>
        </w:rPr>
        <w:t xml:space="preserve">absolutely, </w:t>
      </w:r>
      <w:r w:rsidR="00EA2566" w:rsidRPr="00424846">
        <w:rPr>
          <w:rFonts w:ascii="Arial" w:hAnsi="Arial" w:cs="Arial"/>
          <w:sz w:val="24"/>
          <w:szCs w:val="24"/>
        </w:rPr>
        <w:t>and secondly</w:t>
      </w:r>
      <w:r w:rsidR="00D040BE" w:rsidRPr="00424846">
        <w:rPr>
          <w:rFonts w:ascii="Arial" w:hAnsi="Arial" w:cs="Arial"/>
          <w:sz w:val="24"/>
          <w:szCs w:val="24"/>
        </w:rPr>
        <w:t xml:space="preserve">, </w:t>
      </w:r>
      <w:r w:rsidR="00FC01BE" w:rsidRPr="00424846">
        <w:rPr>
          <w:rFonts w:ascii="Arial" w:hAnsi="Arial" w:cs="Arial"/>
          <w:sz w:val="24"/>
          <w:szCs w:val="24"/>
        </w:rPr>
        <w:t>not enable</w:t>
      </w:r>
      <w:r w:rsidR="003867EB" w:rsidRPr="00424846">
        <w:rPr>
          <w:rFonts w:ascii="Arial" w:hAnsi="Arial" w:cs="Arial"/>
          <w:sz w:val="24"/>
          <w:szCs w:val="24"/>
        </w:rPr>
        <w:t xml:space="preserve"> its use</w:t>
      </w:r>
      <w:r w:rsidR="00C9340E" w:rsidRPr="00424846">
        <w:rPr>
          <w:rFonts w:ascii="Arial" w:hAnsi="Arial" w:cs="Arial"/>
          <w:sz w:val="24"/>
          <w:szCs w:val="24"/>
        </w:rPr>
        <w:t xml:space="preserve"> as a third party</w:t>
      </w:r>
      <w:r w:rsidR="00837D93" w:rsidRPr="00424846">
        <w:rPr>
          <w:rStyle w:val="FootnoteReference"/>
          <w:rFonts w:ascii="Arial" w:hAnsi="Arial" w:cs="Arial"/>
          <w:sz w:val="24"/>
          <w:szCs w:val="24"/>
        </w:rPr>
        <w:footnoteReference w:id="86"/>
      </w:r>
      <w:r w:rsidR="005F1C94" w:rsidRPr="00424846">
        <w:rPr>
          <w:rFonts w:ascii="Arial" w:hAnsi="Arial" w:cs="Arial"/>
          <w:sz w:val="24"/>
          <w:szCs w:val="24"/>
        </w:rPr>
        <w:t xml:space="preserve"> (</w:t>
      </w:r>
      <w:r w:rsidR="003977B7" w:rsidRPr="00424846">
        <w:rPr>
          <w:rFonts w:ascii="Arial" w:hAnsi="Arial" w:cs="Arial"/>
          <w:sz w:val="24"/>
          <w:szCs w:val="24"/>
        </w:rPr>
        <w:t>by</w:t>
      </w:r>
      <w:r w:rsidR="003867EB" w:rsidRPr="00424846">
        <w:rPr>
          <w:rFonts w:ascii="Arial" w:hAnsi="Arial" w:cs="Arial"/>
          <w:sz w:val="24"/>
          <w:szCs w:val="24"/>
        </w:rPr>
        <w:t xml:space="preserve"> deport</w:t>
      </w:r>
      <w:r w:rsidR="00EA2566" w:rsidRPr="00424846">
        <w:rPr>
          <w:rFonts w:ascii="Arial" w:hAnsi="Arial" w:cs="Arial"/>
          <w:sz w:val="24"/>
          <w:szCs w:val="24"/>
        </w:rPr>
        <w:t>ing suspects</w:t>
      </w:r>
      <w:r w:rsidR="00FC01BE" w:rsidRPr="00424846">
        <w:rPr>
          <w:rFonts w:ascii="Arial" w:hAnsi="Arial" w:cs="Arial"/>
          <w:sz w:val="24"/>
          <w:szCs w:val="24"/>
        </w:rPr>
        <w:t xml:space="preserve"> </w:t>
      </w:r>
      <w:r w:rsidR="003977B7" w:rsidRPr="00424846">
        <w:rPr>
          <w:rFonts w:ascii="Arial" w:hAnsi="Arial" w:cs="Arial"/>
          <w:sz w:val="24"/>
          <w:szCs w:val="24"/>
        </w:rPr>
        <w:t xml:space="preserve">at risk of </w:t>
      </w:r>
      <w:r w:rsidR="003977B7" w:rsidRPr="00424846">
        <w:rPr>
          <w:rFonts w:ascii="Arial" w:hAnsi="Arial" w:cs="Arial"/>
          <w:sz w:val="24"/>
          <w:szCs w:val="24"/>
        </w:rPr>
        <w:lastRenderedPageBreak/>
        <w:t>torture</w:t>
      </w:r>
      <w:r w:rsidR="006D5A1E" w:rsidRPr="00424846">
        <w:rPr>
          <w:rStyle w:val="FootnoteReference"/>
          <w:rFonts w:ascii="Arial" w:hAnsi="Arial" w:cs="Arial"/>
          <w:sz w:val="24"/>
          <w:szCs w:val="24"/>
        </w:rPr>
        <w:footnoteReference w:id="87"/>
      </w:r>
      <w:r w:rsidR="005F1C94" w:rsidRPr="00424846">
        <w:rPr>
          <w:rFonts w:ascii="Arial" w:hAnsi="Arial" w:cs="Arial"/>
          <w:sz w:val="24"/>
          <w:szCs w:val="24"/>
        </w:rPr>
        <w:t>)</w:t>
      </w:r>
      <w:r w:rsidR="00FC01BE" w:rsidRPr="00424846">
        <w:rPr>
          <w:rFonts w:ascii="Arial" w:hAnsi="Arial" w:cs="Arial"/>
          <w:sz w:val="24"/>
          <w:szCs w:val="24"/>
        </w:rPr>
        <w:t xml:space="preserve">. </w:t>
      </w:r>
      <w:r w:rsidR="003977B7" w:rsidRPr="00424846">
        <w:rPr>
          <w:rFonts w:ascii="Arial" w:hAnsi="Arial" w:cs="Arial"/>
          <w:sz w:val="24"/>
          <w:szCs w:val="24"/>
        </w:rPr>
        <w:t>As a result</w:t>
      </w:r>
      <w:r w:rsidR="00924AA0" w:rsidRPr="00424846">
        <w:rPr>
          <w:rFonts w:ascii="Arial" w:hAnsi="Arial" w:cs="Arial"/>
          <w:sz w:val="24"/>
          <w:szCs w:val="24"/>
        </w:rPr>
        <w:t xml:space="preserve">, </w:t>
      </w:r>
      <w:r w:rsidR="006D1110" w:rsidRPr="00424846">
        <w:rPr>
          <w:rFonts w:ascii="Arial" w:hAnsi="Arial" w:cs="Arial"/>
          <w:sz w:val="24"/>
          <w:szCs w:val="24"/>
        </w:rPr>
        <w:t xml:space="preserve">Parliament and domestic </w:t>
      </w:r>
      <w:r w:rsidR="00FC01BE" w:rsidRPr="00424846">
        <w:rPr>
          <w:rFonts w:ascii="Arial" w:hAnsi="Arial" w:cs="Arial"/>
          <w:sz w:val="24"/>
          <w:szCs w:val="24"/>
        </w:rPr>
        <w:t xml:space="preserve">courts </w:t>
      </w:r>
      <w:r w:rsidR="00855758" w:rsidRPr="00424846">
        <w:rPr>
          <w:rFonts w:ascii="Arial" w:hAnsi="Arial" w:cs="Arial"/>
          <w:sz w:val="24"/>
          <w:szCs w:val="24"/>
        </w:rPr>
        <w:t xml:space="preserve">have a responsibility to </w:t>
      </w:r>
      <w:r w:rsidR="00397B0B" w:rsidRPr="00424846">
        <w:rPr>
          <w:rFonts w:ascii="Arial" w:hAnsi="Arial" w:cs="Arial"/>
          <w:sz w:val="24"/>
          <w:szCs w:val="24"/>
        </w:rPr>
        <w:t>illegalise</w:t>
      </w:r>
      <w:r w:rsidR="00620A89" w:rsidRPr="00424846">
        <w:rPr>
          <w:rFonts w:ascii="Arial" w:hAnsi="Arial" w:cs="Arial"/>
          <w:sz w:val="24"/>
          <w:szCs w:val="24"/>
        </w:rPr>
        <w:t xml:space="preserve">, </w:t>
      </w:r>
      <w:r w:rsidR="00855758" w:rsidRPr="00424846">
        <w:rPr>
          <w:rFonts w:ascii="Arial" w:hAnsi="Arial" w:cs="Arial"/>
          <w:sz w:val="24"/>
          <w:szCs w:val="24"/>
        </w:rPr>
        <w:t>investigate, punish and provide reparation</w:t>
      </w:r>
      <w:r w:rsidR="003977B7" w:rsidRPr="00424846">
        <w:rPr>
          <w:rFonts w:ascii="Arial" w:hAnsi="Arial" w:cs="Arial"/>
          <w:sz w:val="24"/>
          <w:szCs w:val="24"/>
        </w:rPr>
        <w:t>s</w:t>
      </w:r>
      <w:r w:rsidR="00855758" w:rsidRPr="00424846">
        <w:rPr>
          <w:rFonts w:ascii="Arial" w:hAnsi="Arial" w:cs="Arial"/>
          <w:sz w:val="24"/>
          <w:szCs w:val="24"/>
        </w:rPr>
        <w:t xml:space="preserve"> for victims of state abuse</w:t>
      </w:r>
      <w:r w:rsidR="00855758" w:rsidRPr="00424846">
        <w:rPr>
          <w:rStyle w:val="FootnoteReference"/>
          <w:rFonts w:ascii="Arial" w:hAnsi="Arial" w:cs="Arial"/>
          <w:sz w:val="24"/>
          <w:szCs w:val="24"/>
        </w:rPr>
        <w:footnoteReference w:id="88"/>
      </w:r>
      <w:r w:rsidR="00FC01BE" w:rsidRPr="00424846">
        <w:rPr>
          <w:rFonts w:ascii="Arial" w:hAnsi="Arial" w:cs="Arial"/>
          <w:sz w:val="24"/>
          <w:szCs w:val="24"/>
        </w:rPr>
        <w:t xml:space="preserve">, </w:t>
      </w:r>
      <w:r w:rsidR="006D1110" w:rsidRPr="00424846">
        <w:rPr>
          <w:rFonts w:ascii="Arial" w:hAnsi="Arial" w:cs="Arial"/>
          <w:sz w:val="24"/>
          <w:szCs w:val="24"/>
        </w:rPr>
        <w:t>otherwise</w:t>
      </w:r>
      <w:r w:rsidR="00FC01BE" w:rsidRPr="00424846">
        <w:rPr>
          <w:rFonts w:ascii="Arial" w:hAnsi="Arial" w:cs="Arial"/>
          <w:sz w:val="24"/>
          <w:szCs w:val="24"/>
        </w:rPr>
        <w:t xml:space="preserve">, </w:t>
      </w:r>
      <w:r w:rsidR="002432EB" w:rsidRPr="00424846">
        <w:rPr>
          <w:rFonts w:ascii="Arial" w:hAnsi="Arial" w:cs="Arial"/>
          <w:sz w:val="24"/>
          <w:szCs w:val="24"/>
        </w:rPr>
        <w:t>the state will be taken to task for not fulfilling their international obligation</w:t>
      </w:r>
      <w:r w:rsidR="006D5A1E" w:rsidRPr="00424846">
        <w:rPr>
          <w:rFonts w:ascii="Arial" w:hAnsi="Arial" w:cs="Arial"/>
          <w:sz w:val="24"/>
          <w:szCs w:val="24"/>
        </w:rPr>
        <w:t xml:space="preserve"> to their citizen’s</w:t>
      </w:r>
      <w:r w:rsidR="006D5A1E" w:rsidRPr="00424846">
        <w:rPr>
          <w:rStyle w:val="FootnoteReference"/>
          <w:rFonts w:ascii="Arial" w:hAnsi="Arial" w:cs="Arial"/>
          <w:sz w:val="24"/>
          <w:szCs w:val="24"/>
        </w:rPr>
        <w:footnoteReference w:id="89"/>
      </w:r>
      <w:r w:rsidR="002432EB" w:rsidRPr="00424846">
        <w:rPr>
          <w:rFonts w:ascii="Arial" w:hAnsi="Arial" w:cs="Arial"/>
          <w:sz w:val="24"/>
          <w:szCs w:val="24"/>
        </w:rPr>
        <w:t xml:space="preserve">. </w:t>
      </w:r>
    </w:p>
    <w:p w14:paraId="04F89C3F" w14:textId="77777777" w:rsidR="007035CD" w:rsidRPr="00424846" w:rsidRDefault="007035CD" w:rsidP="00862139">
      <w:pPr>
        <w:spacing w:line="480" w:lineRule="auto"/>
        <w:jc w:val="both"/>
        <w:rPr>
          <w:rFonts w:ascii="Arial" w:hAnsi="Arial" w:cs="Arial"/>
          <w:sz w:val="24"/>
          <w:szCs w:val="24"/>
        </w:rPr>
      </w:pPr>
    </w:p>
    <w:p w14:paraId="0EF992B2" w14:textId="77777777" w:rsidR="007035CD" w:rsidRPr="00424846" w:rsidRDefault="007035CD" w:rsidP="00862139">
      <w:pPr>
        <w:spacing w:line="480" w:lineRule="auto"/>
        <w:jc w:val="both"/>
        <w:rPr>
          <w:rFonts w:ascii="Arial" w:hAnsi="Arial" w:cs="Arial"/>
          <w:sz w:val="24"/>
          <w:szCs w:val="24"/>
        </w:rPr>
      </w:pPr>
    </w:p>
    <w:p w14:paraId="44CA714E" w14:textId="77777777" w:rsidR="007035CD" w:rsidRPr="00424846" w:rsidRDefault="007035CD" w:rsidP="00862139">
      <w:pPr>
        <w:spacing w:line="480" w:lineRule="auto"/>
        <w:jc w:val="both"/>
        <w:rPr>
          <w:rFonts w:ascii="Arial" w:hAnsi="Arial" w:cs="Arial"/>
          <w:sz w:val="24"/>
          <w:szCs w:val="24"/>
        </w:rPr>
      </w:pPr>
    </w:p>
    <w:p w14:paraId="6023FC25" w14:textId="3BEB4012" w:rsidR="007035CD" w:rsidRPr="00424846" w:rsidRDefault="007035CD" w:rsidP="00862139">
      <w:pPr>
        <w:spacing w:line="480" w:lineRule="auto"/>
        <w:jc w:val="both"/>
        <w:rPr>
          <w:rFonts w:ascii="Arial" w:hAnsi="Arial" w:cs="Arial"/>
          <w:sz w:val="24"/>
          <w:szCs w:val="24"/>
        </w:rPr>
      </w:pPr>
    </w:p>
    <w:p w14:paraId="4B05C290" w14:textId="3705E7DA" w:rsidR="001C7F4F" w:rsidRPr="00424846" w:rsidRDefault="001C7F4F" w:rsidP="00862139">
      <w:pPr>
        <w:spacing w:line="480" w:lineRule="auto"/>
        <w:jc w:val="both"/>
        <w:rPr>
          <w:rFonts w:ascii="Arial" w:hAnsi="Arial" w:cs="Arial"/>
          <w:sz w:val="24"/>
          <w:szCs w:val="24"/>
        </w:rPr>
      </w:pPr>
    </w:p>
    <w:p w14:paraId="789C725B" w14:textId="24DBF6EF" w:rsidR="001C7F4F" w:rsidRPr="00424846" w:rsidRDefault="001C7F4F" w:rsidP="00862139">
      <w:pPr>
        <w:spacing w:line="480" w:lineRule="auto"/>
        <w:jc w:val="both"/>
        <w:rPr>
          <w:rFonts w:ascii="Arial" w:hAnsi="Arial" w:cs="Arial"/>
          <w:sz w:val="24"/>
          <w:szCs w:val="24"/>
        </w:rPr>
      </w:pPr>
    </w:p>
    <w:p w14:paraId="259CFBA1" w14:textId="3B47061C" w:rsidR="001C7F4F" w:rsidRDefault="001C7F4F" w:rsidP="00862139">
      <w:pPr>
        <w:spacing w:line="480" w:lineRule="auto"/>
        <w:jc w:val="both"/>
        <w:rPr>
          <w:rFonts w:ascii="Arial" w:hAnsi="Arial" w:cs="Arial"/>
          <w:sz w:val="24"/>
          <w:szCs w:val="24"/>
        </w:rPr>
      </w:pPr>
    </w:p>
    <w:p w14:paraId="2EC23751" w14:textId="6BD0DB6A" w:rsidR="00B017D7" w:rsidRDefault="00B017D7" w:rsidP="00862139">
      <w:pPr>
        <w:spacing w:line="480" w:lineRule="auto"/>
        <w:jc w:val="both"/>
        <w:rPr>
          <w:rFonts w:ascii="Arial" w:hAnsi="Arial" w:cs="Arial"/>
          <w:sz w:val="24"/>
          <w:szCs w:val="24"/>
        </w:rPr>
      </w:pPr>
    </w:p>
    <w:p w14:paraId="467E6C2A" w14:textId="7B086E6E" w:rsidR="00B017D7" w:rsidRDefault="00B017D7" w:rsidP="00862139">
      <w:pPr>
        <w:spacing w:line="480" w:lineRule="auto"/>
        <w:jc w:val="both"/>
        <w:rPr>
          <w:rFonts w:ascii="Arial" w:hAnsi="Arial" w:cs="Arial"/>
          <w:sz w:val="24"/>
          <w:szCs w:val="24"/>
        </w:rPr>
      </w:pPr>
    </w:p>
    <w:p w14:paraId="0D8176BD" w14:textId="3AB4DF0B" w:rsidR="00B017D7" w:rsidRDefault="00B017D7" w:rsidP="00862139">
      <w:pPr>
        <w:spacing w:line="480" w:lineRule="auto"/>
        <w:jc w:val="both"/>
        <w:rPr>
          <w:rFonts w:ascii="Arial" w:hAnsi="Arial" w:cs="Arial"/>
          <w:sz w:val="24"/>
          <w:szCs w:val="24"/>
        </w:rPr>
      </w:pPr>
    </w:p>
    <w:p w14:paraId="47DD6D2E" w14:textId="14B262CB" w:rsidR="00B017D7" w:rsidRDefault="00B017D7" w:rsidP="00862139">
      <w:pPr>
        <w:spacing w:line="480" w:lineRule="auto"/>
        <w:jc w:val="both"/>
        <w:rPr>
          <w:rFonts w:ascii="Arial" w:hAnsi="Arial" w:cs="Arial"/>
          <w:sz w:val="24"/>
          <w:szCs w:val="24"/>
        </w:rPr>
      </w:pPr>
    </w:p>
    <w:p w14:paraId="1A84BA80" w14:textId="70F36F2D" w:rsidR="00B017D7" w:rsidRDefault="00B017D7" w:rsidP="00862139">
      <w:pPr>
        <w:spacing w:line="480" w:lineRule="auto"/>
        <w:jc w:val="both"/>
        <w:rPr>
          <w:rFonts w:ascii="Arial" w:hAnsi="Arial" w:cs="Arial"/>
          <w:sz w:val="24"/>
          <w:szCs w:val="24"/>
        </w:rPr>
      </w:pPr>
    </w:p>
    <w:p w14:paraId="3989823F" w14:textId="77777777" w:rsidR="00B017D7" w:rsidRPr="00424846" w:rsidRDefault="00B017D7" w:rsidP="00862139">
      <w:pPr>
        <w:spacing w:line="480" w:lineRule="auto"/>
        <w:jc w:val="both"/>
        <w:rPr>
          <w:rFonts w:ascii="Arial" w:hAnsi="Arial" w:cs="Arial"/>
          <w:sz w:val="24"/>
          <w:szCs w:val="24"/>
        </w:rPr>
      </w:pPr>
    </w:p>
    <w:p w14:paraId="03D951C0" w14:textId="77777777" w:rsidR="007035CD" w:rsidRPr="00424846" w:rsidRDefault="007035CD" w:rsidP="00862139">
      <w:pPr>
        <w:spacing w:line="480" w:lineRule="auto"/>
        <w:jc w:val="both"/>
        <w:rPr>
          <w:rFonts w:ascii="Arial" w:hAnsi="Arial" w:cs="Arial"/>
          <w:sz w:val="24"/>
          <w:szCs w:val="24"/>
        </w:rPr>
      </w:pPr>
    </w:p>
    <w:p w14:paraId="0EB0A145" w14:textId="57917F9B" w:rsidR="00844093" w:rsidRPr="00B017D7" w:rsidRDefault="008B255E" w:rsidP="00B017D7">
      <w:pPr>
        <w:spacing w:line="480" w:lineRule="auto"/>
        <w:jc w:val="center"/>
        <w:rPr>
          <w:rFonts w:ascii="Arial" w:hAnsi="Arial" w:cs="Arial"/>
          <w:b/>
          <w:bCs/>
          <w:sz w:val="24"/>
          <w:szCs w:val="24"/>
          <w:u w:val="single"/>
        </w:rPr>
      </w:pPr>
      <w:r w:rsidRPr="00B017D7">
        <w:rPr>
          <w:rFonts w:ascii="Arial" w:hAnsi="Arial" w:cs="Arial"/>
          <w:b/>
          <w:bCs/>
          <w:sz w:val="24"/>
          <w:szCs w:val="24"/>
          <w:u w:val="single"/>
        </w:rPr>
        <w:t>Critique</w:t>
      </w:r>
      <w:r w:rsidR="00F75474" w:rsidRPr="00B017D7">
        <w:rPr>
          <w:rFonts w:ascii="Arial" w:hAnsi="Arial" w:cs="Arial"/>
          <w:b/>
          <w:bCs/>
          <w:sz w:val="24"/>
          <w:szCs w:val="24"/>
          <w:u w:val="single"/>
        </w:rPr>
        <w:t>:</w:t>
      </w:r>
    </w:p>
    <w:p w14:paraId="33490911" w14:textId="50215B13" w:rsidR="00816AF4" w:rsidRPr="00424846" w:rsidRDefault="0080457E" w:rsidP="00862139">
      <w:pPr>
        <w:spacing w:line="480" w:lineRule="auto"/>
        <w:jc w:val="both"/>
        <w:rPr>
          <w:rFonts w:ascii="Arial" w:hAnsi="Arial" w:cs="Arial"/>
          <w:sz w:val="24"/>
          <w:szCs w:val="24"/>
        </w:rPr>
      </w:pPr>
      <w:r w:rsidRPr="00424846">
        <w:rPr>
          <w:rFonts w:ascii="Arial" w:hAnsi="Arial" w:cs="Arial"/>
          <w:sz w:val="24"/>
          <w:szCs w:val="24"/>
        </w:rPr>
        <w:t xml:space="preserve">Article 1.1 of the </w:t>
      </w:r>
      <w:r w:rsidR="00816AF4" w:rsidRPr="00424846">
        <w:rPr>
          <w:rFonts w:ascii="Arial" w:hAnsi="Arial" w:cs="Arial"/>
          <w:sz w:val="24"/>
          <w:szCs w:val="24"/>
        </w:rPr>
        <w:t>UNCAT</w:t>
      </w:r>
      <w:r w:rsidR="002E6278" w:rsidRPr="00424846">
        <w:rPr>
          <w:rFonts w:ascii="Arial" w:hAnsi="Arial" w:cs="Arial"/>
          <w:sz w:val="24"/>
          <w:szCs w:val="24"/>
        </w:rPr>
        <w:t>, establish</w:t>
      </w:r>
      <w:r w:rsidR="00C85510" w:rsidRPr="00424846">
        <w:rPr>
          <w:rFonts w:ascii="Arial" w:hAnsi="Arial" w:cs="Arial"/>
          <w:sz w:val="24"/>
          <w:szCs w:val="24"/>
        </w:rPr>
        <w:t>ing</w:t>
      </w:r>
      <w:r w:rsidR="002E6278" w:rsidRPr="00424846">
        <w:rPr>
          <w:rFonts w:ascii="Arial" w:hAnsi="Arial" w:cs="Arial"/>
          <w:sz w:val="24"/>
          <w:szCs w:val="24"/>
        </w:rPr>
        <w:t xml:space="preserve"> </w:t>
      </w:r>
      <w:r w:rsidR="00F55068" w:rsidRPr="00424846">
        <w:rPr>
          <w:rFonts w:ascii="Arial" w:hAnsi="Arial" w:cs="Arial"/>
          <w:sz w:val="24"/>
          <w:szCs w:val="24"/>
        </w:rPr>
        <w:t xml:space="preserve">exactly what ‘torture’ </w:t>
      </w:r>
      <w:r w:rsidR="002E6278" w:rsidRPr="00424846">
        <w:rPr>
          <w:rFonts w:ascii="Arial" w:hAnsi="Arial" w:cs="Arial"/>
          <w:sz w:val="24"/>
          <w:szCs w:val="24"/>
        </w:rPr>
        <w:t>i</w:t>
      </w:r>
      <w:r w:rsidR="00F55068" w:rsidRPr="00424846">
        <w:rPr>
          <w:rFonts w:ascii="Arial" w:hAnsi="Arial" w:cs="Arial"/>
          <w:sz w:val="24"/>
          <w:szCs w:val="24"/>
        </w:rPr>
        <w:t>s</w:t>
      </w:r>
      <w:r w:rsidR="002E6278" w:rsidRPr="00424846">
        <w:rPr>
          <w:rFonts w:ascii="Arial" w:hAnsi="Arial" w:cs="Arial"/>
          <w:sz w:val="24"/>
          <w:szCs w:val="24"/>
        </w:rPr>
        <w:t>,</w:t>
      </w:r>
      <w:r w:rsidR="00F55068" w:rsidRPr="00424846">
        <w:rPr>
          <w:rFonts w:ascii="Arial" w:hAnsi="Arial" w:cs="Arial"/>
          <w:sz w:val="24"/>
          <w:szCs w:val="24"/>
        </w:rPr>
        <w:t xml:space="preserve"> </w:t>
      </w:r>
      <w:r w:rsidR="00B82B8F" w:rsidRPr="00424846">
        <w:rPr>
          <w:rFonts w:ascii="Arial" w:hAnsi="Arial" w:cs="Arial"/>
          <w:sz w:val="24"/>
          <w:szCs w:val="24"/>
        </w:rPr>
        <w:t xml:space="preserve">it </w:t>
      </w:r>
      <w:r w:rsidR="002E6278" w:rsidRPr="00424846">
        <w:rPr>
          <w:rFonts w:ascii="Arial" w:hAnsi="Arial" w:cs="Arial"/>
          <w:sz w:val="24"/>
          <w:szCs w:val="24"/>
        </w:rPr>
        <w:t xml:space="preserve">excludes </w:t>
      </w:r>
      <w:r w:rsidR="0076330D" w:rsidRPr="00424846">
        <w:rPr>
          <w:rFonts w:ascii="Arial" w:hAnsi="Arial" w:cs="Arial"/>
          <w:sz w:val="24"/>
          <w:szCs w:val="24"/>
        </w:rPr>
        <w:t xml:space="preserve">any </w:t>
      </w:r>
      <w:r w:rsidR="0039438E" w:rsidRPr="00424846">
        <w:rPr>
          <w:rFonts w:ascii="Arial" w:hAnsi="Arial" w:cs="Arial"/>
          <w:sz w:val="24"/>
          <w:szCs w:val="24"/>
        </w:rPr>
        <w:t>torture which may stem from a lawful sanction</w:t>
      </w:r>
      <w:r w:rsidR="00816AF4" w:rsidRPr="00424846">
        <w:rPr>
          <w:rFonts w:ascii="Arial" w:hAnsi="Arial" w:cs="Arial"/>
          <w:sz w:val="24"/>
          <w:szCs w:val="24"/>
        </w:rPr>
        <w:t xml:space="preserve">, </w:t>
      </w:r>
      <w:r w:rsidR="0039438E" w:rsidRPr="00424846">
        <w:rPr>
          <w:rFonts w:ascii="Arial" w:hAnsi="Arial" w:cs="Arial"/>
          <w:sz w:val="24"/>
          <w:szCs w:val="24"/>
        </w:rPr>
        <w:t xml:space="preserve">from </w:t>
      </w:r>
      <w:r w:rsidR="005E189D" w:rsidRPr="00424846">
        <w:rPr>
          <w:rFonts w:ascii="Arial" w:hAnsi="Arial" w:cs="Arial"/>
          <w:sz w:val="24"/>
          <w:szCs w:val="24"/>
        </w:rPr>
        <w:t>falling under the definition of</w:t>
      </w:r>
      <w:r w:rsidR="0039438E" w:rsidRPr="00424846">
        <w:rPr>
          <w:rFonts w:ascii="Arial" w:hAnsi="Arial" w:cs="Arial"/>
          <w:sz w:val="24"/>
          <w:szCs w:val="24"/>
        </w:rPr>
        <w:t xml:space="preserve"> torture</w:t>
      </w:r>
      <w:r w:rsidR="00B82B8F" w:rsidRPr="00424846">
        <w:rPr>
          <w:rFonts w:ascii="Arial" w:hAnsi="Arial" w:cs="Arial"/>
          <w:sz w:val="24"/>
          <w:szCs w:val="24"/>
        </w:rPr>
        <w:t xml:space="preserve">, </w:t>
      </w:r>
      <w:r w:rsidR="0039438E" w:rsidRPr="00424846">
        <w:rPr>
          <w:rFonts w:ascii="Arial" w:hAnsi="Arial" w:cs="Arial"/>
          <w:sz w:val="24"/>
          <w:szCs w:val="24"/>
        </w:rPr>
        <w:t>or prohibited as</w:t>
      </w:r>
      <w:r w:rsidR="003778A4" w:rsidRPr="00424846">
        <w:rPr>
          <w:rFonts w:ascii="Arial" w:hAnsi="Arial" w:cs="Arial"/>
          <w:sz w:val="24"/>
          <w:szCs w:val="24"/>
        </w:rPr>
        <w:t xml:space="preserve"> an act of torture</w:t>
      </w:r>
      <w:r w:rsidR="002E6278" w:rsidRPr="00424846">
        <w:rPr>
          <w:rStyle w:val="FootnoteReference"/>
          <w:rFonts w:ascii="Arial" w:hAnsi="Arial" w:cs="Arial"/>
          <w:sz w:val="24"/>
          <w:szCs w:val="24"/>
        </w:rPr>
        <w:footnoteReference w:id="90"/>
      </w:r>
      <w:r w:rsidR="00365273" w:rsidRPr="00424846">
        <w:rPr>
          <w:rFonts w:ascii="Arial" w:hAnsi="Arial" w:cs="Arial"/>
          <w:sz w:val="24"/>
          <w:szCs w:val="24"/>
        </w:rPr>
        <w:t xml:space="preserve">. </w:t>
      </w:r>
      <w:r w:rsidR="002E6278" w:rsidRPr="00424846">
        <w:rPr>
          <w:rFonts w:ascii="Arial" w:hAnsi="Arial" w:cs="Arial"/>
          <w:sz w:val="24"/>
          <w:szCs w:val="24"/>
        </w:rPr>
        <w:t xml:space="preserve"> </w:t>
      </w:r>
      <w:r w:rsidR="003778A4" w:rsidRPr="00424846">
        <w:rPr>
          <w:rFonts w:ascii="Arial" w:hAnsi="Arial" w:cs="Arial"/>
          <w:sz w:val="24"/>
          <w:szCs w:val="24"/>
        </w:rPr>
        <w:t>So, if an act of torture was considered to fall under the criteria of a ‘lawful sanction’, then despite the harm or damage caused by the state official in their duty</w:t>
      </w:r>
      <w:r w:rsidR="00816AF4" w:rsidRPr="00424846">
        <w:rPr>
          <w:rFonts w:ascii="Arial" w:hAnsi="Arial" w:cs="Arial"/>
          <w:sz w:val="24"/>
          <w:szCs w:val="24"/>
        </w:rPr>
        <w:t xml:space="preserve"> to obtain information</w:t>
      </w:r>
      <w:r w:rsidR="003778A4" w:rsidRPr="00424846">
        <w:rPr>
          <w:rFonts w:ascii="Arial" w:hAnsi="Arial" w:cs="Arial"/>
          <w:sz w:val="24"/>
          <w:szCs w:val="24"/>
        </w:rPr>
        <w:t xml:space="preserve">, the act is not considered to be torture, </w:t>
      </w:r>
      <w:r w:rsidR="00B82B8F" w:rsidRPr="00424846">
        <w:rPr>
          <w:rFonts w:ascii="Arial" w:hAnsi="Arial" w:cs="Arial"/>
          <w:sz w:val="24"/>
          <w:szCs w:val="24"/>
        </w:rPr>
        <w:t xml:space="preserve">and is </w:t>
      </w:r>
      <w:r w:rsidR="003778A4" w:rsidRPr="00424846">
        <w:rPr>
          <w:rFonts w:ascii="Arial" w:hAnsi="Arial" w:cs="Arial"/>
          <w:sz w:val="24"/>
          <w:szCs w:val="24"/>
        </w:rPr>
        <w:t xml:space="preserve">therefore, legal.  </w:t>
      </w:r>
    </w:p>
    <w:p w14:paraId="07516CDC" w14:textId="126E09EF" w:rsidR="00C93E3F" w:rsidRPr="00424846" w:rsidRDefault="003778A4" w:rsidP="00862139">
      <w:pPr>
        <w:spacing w:line="480" w:lineRule="auto"/>
        <w:jc w:val="both"/>
        <w:rPr>
          <w:rFonts w:ascii="Arial" w:hAnsi="Arial" w:cs="Arial"/>
          <w:sz w:val="24"/>
          <w:szCs w:val="24"/>
        </w:rPr>
      </w:pPr>
      <w:r w:rsidRPr="00424846">
        <w:rPr>
          <w:rFonts w:ascii="Arial" w:hAnsi="Arial" w:cs="Arial"/>
          <w:sz w:val="24"/>
          <w:szCs w:val="24"/>
        </w:rPr>
        <w:t xml:space="preserve">According to </w:t>
      </w:r>
      <w:proofErr w:type="spellStart"/>
      <w:r w:rsidRPr="00424846">
        <w:rPr>
          <w:rFonts w:ascii="Arial" w:hAnsi="Arial" w:cs="Arial"/>
          <w:sz w:val="24"/>
          <w:szCs w:val="24"/>
        </w:rPr>
        <w:t>Sifreis</w:t>
      </w:r>
      <w:proofErr w:type="spellEnd"/>
      <w:r w:rsidRPr="00424846">
        <w:rPr>
          <w:rFonts w:ascii="Arial" w:hAnsi="Arial" w:cs="Arial"/>
          <w:sz w:val="24"/>
          <w:szCs w:val="24"/>
        </w:rPr>
        <w:t xml:space="preserve">, </w:t>
      </w:r>
      <w:r w:rsidR="00210F18" w:rsidRPr="00424846">
        <w:rPr>
          <w:rFonts w:ascii="Arial" w:hAnsi="Arial" w:cs="Arial"/>
          <w:sz w:val="24"/>
          <w:szCs w:val="24"/>
        </w:rPr>
        <w:t xml:space="preserve">in his </w:t>
      </w:r>
      <w:r w:rsidR="00210F18" w:rsidRPr="00424846">
        <w:rPr>
          <w:rFonts w:ascii="Arial" w:hAnsi="Arial" w:cs="Arial"/>
          <w:i/>
          <w:iCs/>
          <w:sz w:val="24"/>
          <w:szCs w:val="24"/>
        </w:rPr>
        <w:t>Freedom, Torture and International Human Rights</w:t>
      </w:r>
      <w:r w:rsidR="00C93E3F" w:rsidRPr="00424846">
        <w:rPr>
          <w:rStyle w:val="FootnoteReference"/>
          <w:rFonts w:ascii="Arial" w:hAnsi="Arial" w:cs="Arial"/>
          <w:sz w:val="24"/>
          <w:szCs w:val="24"/>
        </w:rPr>
        <w:footnoteReference w:id="91"/>
      </w:r>
      <w:r w:rsidR="00210F18" w:rsidRPr="00424846">
        <w:rPr>
          <w:rFonts w:ascii="Arial" w:hAnsi="Arial" w:cs="Arial"/>
          <w:sz w:val="24"/>
          <w:szCs w:val="24"/>
        </w:rPr>
        <w:t xml:space="preserve"> book, this is problematic because states could then permit their officials to use torture, so long as ‘it is inherent in lawful sanctions’</w:t>
      </w:r>
      <w:r w:rsidR="00765F87" w:rsidRPr="00424846">
        <w:rPr>
          <w:rStyle w:val="FootnoteReference"/>
          <w:rFonts w:ascii="Arial" w:hAnsi="Arial" w:cs="Arial"/>
          <w:sz w:val="24"/>
          <w:szCs w:val="24"/>
        </w:rPr>
        <w:footnoteReference w:id="92"/>
      </w:r>
      <w:r w:rsidR="00210F18" w:rsidRPr="00424846">
        <w:rPr>
          <w:rFonts w:ascii="Arial" w:hAnsi="Arial" w:cs="Arial"/>
          <w:sz w:val="24"/>
          <w:szCs w:val="24"/>
        </w:rPr>
        <w:t xml:space="preserve">, leading to a watering-down of the </w:t>
      </w:r>
      <w:r w:rsidR="00765F87" w:rsidRPr="00424846">
        <w:rPr>
          <w:rFonts w:ascii="Arial" w:hAnsi="Arial" w:cs="Arial"/>
          <w:sz w:val="24"/>
          <w:szCs w:val="24"/>
        </w:rPr>
        <w:t>‘</w:t>
      </w:r>
      <w:r w:rsidR="00210F18" w:rsidRPr="00424846">
        <w:rPr>
          <w:rFonts w:ascii="Arial" w:hAnsi="Arial" w:cs="Arial"/>
          <w:sz w:val="24"/>
          <w:szCs w:val="24"/>
        </w:rPr>
        <w:t>absoluteness</w:t>
      </w:r>
      <w:r w:rsidR="00765F87" w:rsidRPr="00424846">
        <w:rPr>
          <w:rFonts w:ascii="Arial" w:hAnsi="Arial" w:cs="Arial"/>
          <w:sz w:val="24"/>
          <w:szCs w:val="24"/>
        </w:rPr>
        <w:t>’</w:t>
      </w:r>
      <w:r w:rsidR="00210F18" w:rsidRPr="00424846">
        <w:rPr>
          <w:rFonts w:ascii="Arial" w:hAnsi="Arial" w:cs="Arial"/>
          <w:sz w:val="24"/>
          <w:szCs w:val="24"/>
        </w:rPr>
        <w:t xml:space="preserve"> of the prohibition of torture</w:t>
      </w:r>
      <w:r w:rsidR="00765F87" w:rsidRPr="00424846">
        <w:rPr>
          <w:rFonts w:ascii="Arial" w:hAnsi="Arial" w:cs="Arial"/>
          <w:sz w:val="24"/>
          <w:szCs w:val="24"/>
        </w:rPr>
        <w:t xml:space="preserve">, </w:t>
      </w:r>
      <w:r w:rsidR="00210F18" w:rsidRPr="00424846">
        <w:rPr>
          <w:rFonts w:ascii="Arial" w:hAnsi="Arial" w:cs="Arial"/>
          <w:sz w:val="24"/>
          <w:szCs w:val="24"/>
        </w:rPr>
        <w:t>making its provisions less reliable, as its illegality becomes a matter for debate</w:t>
      </w:r>
      <w:r w:rsidR="00765F87" w:rsidRPr="00424846">
        <w:rPr>
          <w:rStyle w:val="FootnoteReference"/>
          <w:rFonts w:ascii="Arial" w:hAnsi="Arial" w:cs="Arial"/>
          <w:sz w:val="24"/>
          <w:szCs w:val="24"/>
        </w:rPr>
        <w:footnoteReference w:id="93"/>
      </w:r>
      <w:r w:rsidR="00555B77" w:rsidRPr="00424846">
        <w:rPr>
          <w:rFonts w:ascii="Arial" w:hAnsi="Arial" w:cs="Arial"/>
          <w:sz w:val="24"/>
          <w:szCs w:val="24"/>
        </w:rPr>
        <w:t xml:space="preserve">. </w:t>
      </w:r>
      <w:r w:rsidR="008C5D16" w:rsidRPr="00424846">
        <w:rPr>
          <w:rFonts w:ascii="Arial" w:hAnsi="Arial" w:cs="Arial"/>
          <w:sz w:val="24"/>
          <w:szCs w:val="24"/>
        </w:rPr>
        <w:t xml:space="preserve">        </w:t>
      </w:r>
      <w:r w:rsidR="00555B77" w:rsidRPr="00424846">
        <w:rPr>
          <w:rFonts w:ascii="Arial" w:hAnsi="Arial" w:cs="Arial"/>
          <w:sz w:val="24"/>
          <w:szCs w:val="24"/>
        </w:rPr>
        <w:t>The case of</w:t>
      </w:r>
      <w:r w:rsidR="009B433B" w:rsidRPr="00424846">
        <w:rPr>
          <w:rFonts w:ascii="Arial" w:hAnsi="Arial" w:cs="Arial"/>
          <w:sz w:val="24"/>
          <w:szCs w:val="24"/>
        </w:rPr>
        <w:t xml:space="preserve"> </w:t>
      </w:r>
      <w:bookmarkStart w:id="70" w:name="_Hlk36154650"/>
      <w:r w:rsidR="009B433B" w:rsidRPr="00424846">
        <w:rPr>
          <w:rFonts w:ascii="Arial" w:hAnsi="Arial" w:cs="Arial"/>
          <w:sz w:val="24"/>
          <w:szCs w:val="24"/>
        </w:rPr>
        <w:t>Jalloh v Germany</w:t>
      </w:r>
      <w:bookmarkEnd w:id="70"/>
      <w:r w:rsidR="00890019" w:rsidRPr="00424846">
        <w:rPr>
          <w:rStyle w:val="FootnoteReference"/>
          <w:rFonts w:ascii="Arial" w:hAnsi="Arial" w:cs="Arial"/>
          <w:sz w:val="24"/>
          <w:szCs w:val="24"/>
        </w:rPr>
        <w:footnoteReference w:id="94"/>
      </w:r>
      <w:r w:rsidR="009B031E" w:rsidRPr="00424846">
        <w:rPr>
          <w:rFonts w:ascii="Arial" w:hAnsi="Arial" w:cs="Arial"/>
          <w:sz w:val="24"/>
          <w:szCs w:val="24"/>
        </w:rPr>
        <w:t xml:space="preserve"> tries to set a universal </w:t>
      </w:r>
      <w:r w:rsidR="00032127" w:rsidRPr="00424846">
        <w:rPr>
          <w:rFonts w:ascii="Arial" w:hAnsi="Arial" w:cs="Arial"/>
          <w:sz w:val="24"/>
          <w:szCs w:val="24"/>
        </w:rPr>
        <w:t xml:space="preserve">definition of torture, </w:t>
      </w:r>
      <w:r w:rsidR="009B031E" w:rsidRPr="00424846">
        <w:rPr>
          <w:rFonts w:ascii="Arial" w:hAnsi="Arial" w:cs="Arial"/>
          <w:sz w:val="24"/>
          <w:szCs w:val="24"/>
        </w:rPr>
        <w:t xml:space="preserve">by </w:t>
      </w:r>
      <w:r w:rsidR="009B433B" w:rsidRPr="00424846">
        <w:rPr>
          <w:rFonts w:ascii="Arial" w:hAnsi="Arial" w:cs="Arial"/>
          <w:sz w:val="24"/>
          <w:szCs w:val="24"/>
        </w:rPr>
        <w:t>indicat</w:t>
      </w:r>
      <w:r w:rsidR="009B031E" w:rsidRPr="00424846">
        <w:rPr>
          <w:rFonts w:ascii="Arial" w:hAnsi="Arial" w:cs="Arial"/>
          <w:sz w:val="24"/>
          <w:szCs w:val="24"/>
        </w:rPr>
        <w:t>ing</w:t>
      </w:r>
      <w:r w:rsidR="009B433B" w:rsidRPr="00424846">
        <w:rPr>
          <w:rFonts w:ascii="Arial" w:hAnsi="Arial" w:cs="Arial"/>
          <w:sz w:val="24"/>
          <w:szCs w:val="24"/>
        </w:rPr>
        <w:t xml:space="preserve"> that a </w:t>
      </w:r>
      <w:r w:rsidR="00C93E3F" w:rsidRPr="00424846">
        <w:rPr>
          <w:rFonts w:ascii="Arial" w:hAnsi="Arial" w:cs="Arial"/>
          <w:sz w:val="24"/>
          <w:szCs w:val="24"/>
        </w:rPr>
        <w:t>‘</w:t>
      </w:r>
      <w:r w:rsidR="009B433B" w:rsidRPr="00424846">
        <w:rPr>
          <w:rFonts w:ascii="Arial" w:hAnsi="Arial" w:cs="Arial"/>
          <w:sz w:val="24"/>
          <w:szCs w:val="24"/>
        </w:rPr>
        <w:t>minimum level of severity</w:t>
      </w:r>
      <w:r w:rsidR="00C93E3F" w:rsidRPr="00424846">
        <w:rPr>
          <w:rFonts w:ascii="Arial" w:hAnsi="Arial" w:cs="Arial"/>
          <w:sz w:val="24"/>
          <w:szCs w:val="24"/>
        </w:rPr>
        <w:t>’</w:t>
      </w:r>
      <w:r w:rsidR="00555B77" w:rsidRPr="00424846">
        <w:rPr>
          <w:rFonts w:ascii="Arial" w:hAnsi="Arial" w:cs="Arial"/>
          <w:sz w:val="24"/>
          <w:szCs w:val="24"/>
        </w:rPr>
        <w:t xml:space="preserve"> and a holistic view</w:t>
      </w:r>
      <w:r w:rsidR="009B433B" w:rsidRPr="00424846">
        <w:rPr>
          <w:rFonts w:ascii="Arial" w:hAnsi="Arial" w:cs="Arial"/>
          <w:sz w:val="24"/>
          <w:szCs w:val="24"/>
        </w:rPr>
        <w:t xml:space="preserve"> is required to determine whether an act </w:t>
      </w:r>
      <w:r w:rsidR="00C93E3F" w:rsidRPr="00424846">
        <w:rPr>
          <w:rFonts w:ascii="Arial" w:hAnsi="Arial" w:cs="Arial"/>
          <w:sz w:val="24"/>
          <w:szCs w:val="24"/>
        </w:rPr>
        <w:t xml:space="preserve">is </w:t>
      </w:r>
      <w:r w:rsidR="009B031E" w:rsidRPr="00424846">
        <w:rPr>
          <w:rFonts w:ascii="Arial" w:hAnsi="Arial" w:cs="Arial"/>
          <w:sz w:val="24"/>
          <w:szCs w:val="24"/>
        </w:rPr>
        <w:t xml:space="preserve">considered </w:t>
      </w:r>
      <w:r w:rsidR="009B433B" w:rsidRPr="00424846">
        <w:rPr>
          <w:rFonts w:ascii="Arial" w:hAnsi="Arial" w:cs="Arial"/>
          <w:sz w:val="24"/>
          <w:szCs w:val="24"/>
        </w:rPr>
        <w:t>torture</w:t>
      </w:r>
      <w:r w:rsidR="00032127" w:rsidRPr="00424846">
        <w:rPr>
          <w:rFonts w:ascii="Arial" w:hAnsi="Arial" w:cs="Arial"/>
          <w:sz w:val="24"/>
          <w:szCs w:val="24"/>
        </w:rPr>
        <w:t xml:space="preserve"> or not</w:t>
      </w:r>
      <w:r w:rsidR="00555B77" w:rsidRPr="00424846">
        <w:rPr>
          <w:rStyle w:val="FootnoteReference"/>
          <w:rFonts w:ascii="Arial" w:hAnsi="Arial" w:cs="Arial"/>
          <w:sz w:val="24"/>
          <w:szCs w:val="24"/>
        </w:rPr>
        <w:footnoteReference w:id="95"/>
      </w:r>
      <w:r w:rsidR="00555B77" w:rsidRPr="00424846">
        <w:rPr>
          <w:rFonts w:ascii="Arial" w:hAnsi="Arial" w:cs="Arial"/>
          <w:sz w:val="24"/>
          <w:szCs w:val="24"/>
        </w:rPr>
        <w:t xml:space="preserve">. </w:t>
      </w:r>
      <w:r w:rsidR="00C93E3F" w:rsidRPr="00424846">
        <w:rPr>
          <w:rFonts w:ascii="Arial" w:hAnsi="Arial" w:cs="Arial"/>
          <w:sz w:val="24"/>
          <w:szCs w:val="24"/>
        </w:rPr>
        <w:t>Unfortunately, still not providing the</w:t>
      </w:r>
      <w:r w:rsidR="003F551B" w:rsidRPr="00424846">
        <w:rPr>
          <w:rFonts w:ascii="Arial" w:hAnsi="Arial" w:cs="Arial"/>
          <w:sz w:val="24"/>
          <w:szCs w:val="24"/>
        </w:rPr>
        <w:t xml:space="preserve"> guidance on what</w:t>
      </w:r>
      <w:r w:rsidR="00C93E3F" w:rsidRPr="00424846">
        <w:rPr>
          <w:rFonts w:ascii="Arial" w:hAnsi="Arial" w:cs="Arial"/>
          <w:sz w:val="24"/>
          <w:szCs w:val="24"/>
        </w:rPr>
        <w:t xml:space="preserve"> ‘a</w:t>
      </w:r>
      <w:r w:rsidR="003F551B" w:rsidRPr="00424846">
        <w:rPr>
          <w:rFonts w:ascii="Arial" w:hAnsi="Arial" w:cs="Arial"/>
          <w:sz w:val="24"/>
          <w:szCs w:val="24"/>
        </w:rPr>
        <w:t xml:space="preserve"> minimum level of severity</w:t>
      </w:r>
      <w:r w:rsidR="00C93E3F" w:rsidRPr="00424846">
        <w:rPr>
          <w:rFonts w:ascii="Arial" w:hAnsi="Arial" w:cs="Arial"/>
          <w:sz w:val="24"/>
          <w:szCs w:val="24"/>
        </w:rPr>
        <w:t>’</w:t>
      </w:r>
      <w:r w:rsidR="003F551B" w:rsidRPr="00424846">
        <w:rPr>
          <w:rFonts w:ascii="Arial" w:hAnsi="Arial" w:cs="Arial"/>
          <w:sz w:val="24"/>
          <w:szCs w:val="24"/>
        </w:rPr>
        <w:t xml:space="preserve"> </w:t>
      </w:r>
      <w:r w:rsidR="00C93E3F" w:rsidRPr="00424846">
        <w:rPr>
          <w:rFonts w:ascii="Arial" w:hAnsi="Arial" w:cs="Arial"/>
          <w:sz w:val="24"/>
          <w:szCs w:val="24"/>
        </w:rPr>
        <w:t>means</w:t>
      </w:r>
      <w:r w:rsidR="00890019" w:rsidRPr="00424846">
        <w:rPr>
          <w:rFonts w:ascii="Arial" w:hAnsi="Arial" w:cs="Arial"/>
          <w:sz w:val="24"/>
          <w:szCs w:val="24"/>
        </w:rPr>
        <w:t>, l</w:t>
      </w:r>
      <w:r w:rsidR="003F551B" w:rsidRPr="00424846">
        <w:rPr>
          <w:rFonts w:ascii="Arial" w:hAnsi="Arial" w:cs="Arial"/>
          <w:sz w:val="24"/>
          <w:szCs w:val="24"/>
        </w:rPr>
        <w:t xml:space="preserve">eaving it to member </w:t>
      </w:r>
      <w:r w:rsidR="00890019" w:rsidRPr="00424846">
        <w:rPr>
          <w:rFonts w:ascii="Arial" w:hAnsi="Arial" w:cs="Arial"/>
          <w:sz w:val="24"/>
          <w:szCs w:val="24"/>
        </w:rPr>
        <w:t xml:space="preserve">states to </w:t>
      </w:r>
      <w:r w:rsidR="00C93E3F" w:rsidRPr="00424846">
        <w:rPr>
          <w:rFonts w:ascii="Arial" w:hAnsi="Arial" w:cs="Arial"/>
          <w:sz w:val="24"/>
          <w:szCs w:val="24"/>
        </w:rPr>
        <w:t>decide</w:t>
      </w:r>
      <w:r w:rsidR="00890019" w:rsidRPr="00424846">
        <w:rPr>
          <w:rFonts w:ascii="Arial" w:hAnsi="Arial" w:cs="Arial"/>
          <w:sz w:val="24"/>
          <w:szCs w:val="24"/>
        </w:rPr>
        <w:t>,</w:t>
      </w:r>
      <w:r w:rsidR="00C93E3F" w:rsidRPr="00424846">
        <w:rPr>
          <w:rFonts w:ascii="Arial" w:hAnsi="Arial" w:cs="Arial"/>
          <w:sz w:val="24"/>
          <w:szCs w:val="24"/>
        </w:rPr>
        <w:t xml:space="preserve"> resulting, in</w:t>
      </w:r>
      <w:r w:rsidR="00890019" w:rsidRPr="00424846">
        <w:rPr>
          <w:rFonts w:ascii="Arial" w:hAnsi="Arial" w:cs="Arial"/>
          <w:sz w:val="24"/>
          <w:szCs w:val="24"/>
        </w:rPr>
        <w:t xml:space="preserve"> a varied approach to anti-torture laws</w:t>
      </w:r>
      <w:r w:rsidR="0097142B" w:rsidRPr="00424846">
        <w:rPr>
          <w:rFonts w:ascii="Arial" w:hAnsi="Arial" w:cs="Arial"/>
          <w:sz w:val="24"/>
          <w:szCs w:val="24"/>
        </w:rPr>
        <w:t xml:space="preserve"> and no uniformity in </w:t>
      </w:r>
      <w:r w:rsidR="00C93E3F" w:rsidRPr="00424846">
        <w:rPr>
          <w:rFonts w:ascii="Arial" w:hAnsi="Arial" w:cs="Arial"/>
          <w:sz w:val="24"/>
          <w:szCs w:val="24"/>
        </w:rPr>
        <w:t xml:space="preserve">the </w:t>
      </w:r>
      <w:r w:rsidR="0097142B" w:rsidRPr="00424846">
        <w:rPr>
          <w:rFonts w:ascii="Arial" w:hAnsi="Arial" w:cs="Arial"/>
          <w:sz w:val="24"/>
          <w:szCs w:val="24"/>
        </w:rPr>
        <w:t xml:space="preserve">law. </w:t>
      </w:r>
      <w:r w:rsidR="009B031E" w:rsidRPr="00424846">
        <w:rPr>
          <w:rFonts w:ascii="Arial" w:hAnsi="Arial" w:cs="Arial"/>
          <w:sz w:val="24"/>
          <w:szCs w:val="24"/>
        </w:rPr>
        <w:t xml:space="preserve">The case of </w:t>
      </w:r>
      <w:bookmarkStart w:id="73" w:name="_Hlk36154726"/>
      <w:r w:rsidR="009B031E" w:rsidRPr="00424846">
        <w:rPr>
          <w:rFonts w:ascii="Arial" w:hAnsi="Arial" w:cs="Arial"/>
          <w:sz w:val="24"/>
          <w:szCs w:val="24"/>
        </w:rPr>
        <w:t>Republic of Ireland v The United Kingdom</w:t>
      </w:r>
      <w:bookmarkEnd w:id="73"/>
      <w:r w:rsidR="009B031E" w:rsidRPr="00424846">
        <w:rPr>
          <w:rStyle w:val="FootnoteReference"/>
          <w:rFonts w:ascii="Arial" w:hAnsi="Arial" w:cs="Arial"/>
          <w:sz w:val="24"/>
          <w:szCs w:val="24"/>
        </w:rPr>
        <w:footnoteReference w:id="96"/>
      </w:r>
      <w:r w:rsidR="009B031E" w:rsidRPr="00424846">
        <w:rPr>
          <w:rFonts w:ascii="Arial" w:hAnsi="Arial" w:cs="Arial"/>
          <w:sz w:val="24"/>
          <w:szCs w:val="24"/>
        </w:rPr>
        <w:t xml:space="preserve"> supports this, as the courts found that the ouns first lies with the state, as </w:t>
      </w:r>
      <w:r w:rsidR="009B031E" w:rsidRPr="00424846">
        <w:rPr>
          <w:rFonts w:ascii="Arial" w:hAnsi="Arial" w:cs="Arial"/>
          <w:sz w:val="24"/>
          <w:szCs w:val="24"/>
        </w:rPr>
        <w:lastRenderedPageBreak/>
        <w:t>they are in the best position to decide</w:t>
      </w:r>
      <w:r w:rsidR="009B031E" w:rsidRPr="00424846">
        <w:rPr>
          <w:rStyle w:val="FootnoteReference"/>
          <w:rFonts w:ascii="Arial" w:hAnsi="Arial" w:cs="Arial"/>
          <w:sz w:val="24"/>
          <w:szCs w:val="24"/>
        </w:rPr>
        <w:footnoteReference w:id="97"/>
      </w:r>
      <w:r w:rsidR="009B031E" w:rsidRPr="00424846">
        <w:rPr>
          <w:rFonts w:ascii="Arial" w:hAnsi="Arial" w:cs="Arial"/>
          <w:sz w:val="24"/>
          <w:szCs w:val="24"/>
        </w:rPr>
        <w:t xml:space="preserve">. </w:t>
      </w:r>
      <w:r w:rsidR="0097142B" w:rsidRPr="00424846">
        <w:rPr>
          <w:rFonts w:ascii="Arial" w:hAnsi="Arial" w:cs="Arial"/>
          <w:sz w:val="24"/>
          <w:szCs w:val="24"/>
        </w:rPr>
        <w:t>The threat</w:t>
      </w:r>
      <w:r w:rsidR="00737416" w:rsidRPr="00424846">
        <w:rPr>
          <w:rFonts w:ascii="Arial" w:hAnsi="Arial" w:cs="Arial"/>
          <w:sz w:val="24"/>
          <w:szCs w:val="24"/>
        </w:rPr>
        <w:t xml:space="preserve"> here, however</w:t>
      </w:r>
      <w:r w:rsidR="009B031E" w:rsidRPr="00424846">
        <w:rPr>
          <w:rFonts w:ascii="Arial" w:hAnsi="Arial" w:cs="Arial"/>
          <w:sz w:val="24"/>
          <w:szCs w:val="24"/>
        </w:rPr>
        <w:t>, is</w:t>
      </w:r>
      <w:r w:rsidR="0097142B" w:rsidRPr="00424846">
        <w:rPr>
          <w:rFonts w:ascii="Arial" w:hAnsi="Arial" w:cs="Arial"/>
          <w:sz w:val="24"/>
          <w:szCs w:val="24"/>
        </w:rPr>
        <w:t xml:space="preserve"> that it may indirectly allow torture</w:t>
      </w:r>
      <w:r w:rsidR="009B031E" w:rsidRPr="00424846">
        <w:rPr>
          <w:rFonts w:ascii="Arial" w:hAnsi="Arial" w:cs="Arial"/>
          <w:sz w:val="24"/>
          <w:szCs w:val="24"/>
        </w:rPr>
        <w:t xml:space="preserve"> </w:t>
      </w:r>
      <w:r w:rsidR="0097142B" w:rsidRPr="00424846">
        <w:rPr>
          <w:rFonts w:ascii="Arial" w:hAnsi="Arial" w:cs="Arial"/>
          <w:sz w:val="24"/>
          <w:szCs w:val="24"/>
        </w:rPr>
        <w:t>to be</w:t>
      </w:r>
      <w:r w:rsidR="009B031E" w:rsidRPr="00424846">
        <w:rPr>
          <w:rFonts w:ascii="Arial" w:hAnsi="Arial" w:cs="Arial"/>
          <w:sz w:val="24"/>
          <w:szCs w:val="24"/>
        </w:rPr>
        <w:t xml:space="preserve"> happen. </w:t>
      </w:r>
      <w:r w:rsidR="00441D7E" w:rsidRPr="00424846">
        <w:rPr>
          <w:rFonts w:ascii="Arial" w:hAnsi="Arial" w:cs="Arial"/>
          <w:sz w:val="24"/>
          <w:szCs w:val="24"/>
        </w:rPr>
        <w:t xml:space="preserve">                   </w:t>
      </w:r>
      <w:r w:rsidR="0048528D" w:rsidRPr="00424846">
        <w:rPr>
          <w:rFonts w:ascii="Arial" w:hAnsi="Arial" w:cs="Arial"/>
          <w:sz w:val="24"/>
          <w:szCs w:val="24"/>
        </w:rPr>
        <w:t>Though</w:t>
      </w:r>
      <w:r w:rsidR="009B031E" w:rsidRPr="00424846">
        <w:rPr>
          <w:rFonts w:ascii="Arial" w:hAnsi="Arial" w:cs="Arial"/>
          <w:sz w:val="24"/>
          <w:szCs w:val="24"/>
        </w:rPr>
        <w:t xml:space="preserve">, this is unlikely as Art19 enables the court and the commission to keep states within the scope </w:t>
      </w:r>
      <w:r w:rsidR="00737416" w:rsidRPr="00424846">
        <w:rPr>
          <w:rFonts w:ascii="Arial" w:hAnsi="Arial" w:cs="Arial"/>
          <w:sz w:val="24"/>
          <w:szCs w:val="24"/>
        </w:rPr>
        <w:t>of</w:t>
      </w:r>
      <w:r w:rsidR="009B031E" w:rsidRPr="00424846">
        <w:rPr>
          <w:rFonts w:ascii="Arial" w:hAnsi="Arial" w:cs="Arial"/>
          <w:sz w:val="24"/>
          <w:szCs w:val="24"/>
        </w:rPr>
        <w:t xml:space="preserve"> the </w:t>
      </w:r>
      <w:r w:rsidR="00737416" w:rsidRPr="00424846">
        <w:rPr>
          <w:rFonts w:ascii="Arial" w:hAnsi="Arial" w:cs="Arial"/>
          <w:sz w:val="24"/>
          <w:szCs w:val="24"/>
        </w:rPr>
        <w:t>UNCAT</w:t>
      </w:r>
      <w:r w:rsidR="009B031E" w:rsidRPr="00424846">
        <w:rPr>
          <w:rFonts w:ascii="Arial" w:hAnsi="Arial" w:cs="Arial"/>
          <w:sz w:val="24"/>
          <w:szCs w:val="24"/>
        </w:rPr>
        <w:t xml:space="preserve">. </w:t>
      </w:r>
    </w:p>
    <w:p w14:paraId="337A268A" w14:textId="7B82E4B4" w:rsidR="00F87900" w:rsidRPr="00424846" w:rsidRDefault="007F2F9E" w:rsidP="00862139">
      <w:pPr>
        <w:spacing w:line="480" w:lineRule="auto"/>
        <w:jc w:val="both"/>
        <w:rPr>
          <w:rFonts w:ascii="Arial" w:hAnsi="Arial" w:cs="Arial"/>
          <w:sz w:val="24"/>
          <w:szCs w:val="24"/>
        </w:rPr>
      </w:pPr>
      <w:r w:rsidRPr="00424846">
        <w:rPr>
          <w:rFonts w:ascii="Arial" w:hAnsi="Arial" w:cs="Arial"/>
          <w:sz w:val="24"/>
          <w:szCs w:val="24"/>
        </w:rPr>
        <w:t>From the outset, it c</w:t>
      </w:r>
      <w:r w:rsidR="00484A85" w:rsidRPr="00424846">
        <w:rPr>
          <w:rFonts w:ascii="Arial" w:hAnsi="Arial" w:cs="Arial"/>
          <w:sz w:val="24"/>
          <w:szCs w:val="24"/>
        </w:rPr>
        <w:t>ould</w:t>
      </w:r>
      <w:r w:rsidRPr="00424846">
        <w:rPr>
          <w:rFonts w:ascii="Arial" w:hAnsi="Arial" w:cs="Arial"/>
          <w:sz w:val="24"/>
          <w:szCs w:val="24"/>
        </w:rPr>
        <w:t xml:space="preserve"> be </w:t>
      </w:r>
      <w:r w:rsidR="00441D7E" w:rsidRPr="00424846">
        <w:rPr>
          <w:rFonts w:ascii="Arial" w:hAnsi="Arial" w:cs="Arial"/>
          <w:sz w:val="24"/>
          <w:szCs w:val="24"/>
        </w:rPr>
        <w:t>argued</w:t>
      </w:r>
      <w:r w:rsidR="006D6EB3" w:rsidRPr="00424846">
        <w:rPr>
          <w:rFonts w:ascii="Arial" w:hAnsi="Arial" w:cs="Arial"/>
          <w:sz w:val="24"/>
          <w:szCs w:val="24"/>
        </w:rPr>
        <w:t xml:space="preserve"> </w:t>
      </w:r>
      <w:r w:rsidRPr="00424846">
        <w:rPr>
          <w:rFonts w:ascii="Arial" w:hAnsi="Arial" w:cs="Arial"/>
          <w:sz w:val="24"/>
          <w:szCs w:val="24"/>
        </w:rPr>
        <w:t xml:space="preserve">that international anti-torture laws present </w:t>
      </w:r>
      <w:r w:rsidR="009522F2" w:rsidRPr="00424846">
        <w:rPr>
          <w:rFonts w:ascii="Arial" w:hAnsi="Arial" w:cs="Arial"/>
          <w:sz w:val="24"/>
          <w:szCs w:val="24"/>
        </w:rPr>
        <w:t>themselves</w:t>
      </w:r>
      <w:r w:rsidRPr="00424846">
        <w:rPr>
          <w:rFonts w:ascii="Arial" w:hAnsi="Arial" w:cs="Arial"/>
          <w:sz w:val="24"/>
          <w:szCs w:val="24"/>
        </w:rPr>
        <w:t xml:space="preserve"> as a hindrance to </w:t>
      </w:r>
      <w:r w:rsidR="009522F2" w:rsidRPr="00424846">
        <w:rPr>
          <w:rFonts w:ascii="Arial" w:hAnsi="Arial" w:cs="Arial"/>
          <w:sz w:val="24"/>
          <w:szCs w:val="24"/>
        </w:rPr>
        <w:t xml:space="preserve">protecting </w:t>
      </w:r>
      <w:r w:rsidR="00815923" w:rsidRPr="00424846">
        <w:rPr>
          <w:rFonts w:ascii="Arial" w:hAnsi="Arial" w:cs="Arial"/>
          <w:sz w:val="24"/>
          <w:szCs w:val="24"/>
        </w:rPr>
        <w:t>state security</w:t>
      </w:r>
      <w:r w:rsidR="00441D7E" w:rsidRPr="00424846">
        <w:rPr>
          <w:rStyle w:val="FootnoteReference"/>
          <w:rFonts w:ascii="Arial" w:hAnsi="Arial" w:cs="Arial"/>
          <w:sz w:val="24"/>
          <w:szCs w:val="24"/>
        </w:rPr>
        <w:footnoteReference w:id="98"/>
      </w:r>
      <w:r w:rsidR="00F87900" w:rsidRPr="00424846">
        <w:rPr>
          <w:rFonts w:ascii="Arial" w:hAnsi="Arial" w:cs="Arial"/>
          <w:sz w:val="24"/>
          <w:szCs w:val="24"/>
        </w:rPr>
        <w:t>. But,</w:t>
      </w:r>
      <w:r w:rsidR="008B710A" w:rsidRPr="00424846">
        <w:rPr>
          <w:rFonts w:ascii="Arial" w:hAnsi="Arial" w:cs="Arial"/>
          <w:sz w:val="24"/>
          <w:szCs w:val="24"/>
        </w:rPr>
        <w:t xml:space="preserve"> co</w:t>
      </w:r>
      <w:r w:rsidR="006D6EB3" w:rsidRPr="00424846">
        <w:rPr>
          <w:rFonts w:ascii="Arial" w:hAnsi="Arial" w:cs="Arial"/>
          <w:sz w:val="24"/>
          <w:szCs w:val="24"/>
        </w:rPr>
        <w:t>mparing this claim against instances like</w:t>
      </w:r>
      <w:r w:rsidR="00F87900" w:rsidRPr="00424846">
        <w:rPr>
          <w:rFonts w:ascii="Arial" w:hAnsi="Arial" w:cs="Arial"/>
          <w:sz w:val="24"/>
          <w:szCs w:val="24"/>
        </w:rPr>
        <w:t xml:space="preserve">, </w:t>
      </w:r>
      <w:r w:rsidR="008B710A" w:rsidRPr="00424846">
        <w:rPr>
          <w:rFonts w:ascii="Arial" w:hAnsi="Arial" w:cs="Arial"/>
          <w:sz w:val="24"/>
          <w:szCs w:val="24"/>
        </w:rPr>
        <w:t>the</w:t>
      </w:r>
      <w:r w:rsidR="00441D7E" w:rsidRPr="00424846">
        <w:rPr>
          <w:rFonts w:ascii="Arial" w:hAnsi="Arial" w:cs="Arial"/>
          <w:sz w:val="24"/>
          <w:szCs w:val="24"/>
        </w:rPr>
        <w:t xml:space="preserve"> </w:t>
      </w:r>
      <w:r w:rsidR="008B710A" w:rsidRPr="00424846">
        <w:rPr>
          <w:rFonts w:ascii="Arial" w:hAnsi="Arial" w:cs="Arial"/>
          <w:sz w:val="24"/>
          <w:szCs w:val="24"/>
        </w:rPr>
        <w:t>torture of Abdel</w:t>
      </w:r>
      <w:r w:rsidR="00AF18B0" w:rsidRPr="00424846">
        <w:rPr>
          <w:rFonts w:ascii="Arial" w:hAnsi="Arial" w:cs="Arial"/>
          <w:sz w:val="24"/>
          <w:szCs w:val="24"/>
        </w:rPr>
        <w:t>-</w:t>
      </w:r>
      <w:r w:rsidR="008B710A" w:rsidRPr="00424846">
        <w:rPr>
          <w:rFonts w:ascii="Arial" w:hAnsi="Arial" w:cs="Arial"/>
          <w:sz w:val="24"/>
          <w:szCs w:val="24"/>
        </w:rPr>
        <w:t>Hakim Belhaj</w:t>
      </w:r>
      <w:r w:rsidR="003316FA" w:rsidRPr="00424846">
        <w:rPr>
          <w:rStyle w:val="FootnoteReference"/>
          <w:rFonts w:ascii="Arial" w:hAnsi="Arial" w:cs="Arial"/>
          <w:sz w:val="24"/>
          <w:szCs w:val="24"/>
        </w:rPr>
        <w:footnoteReference w:id="99"/>
      </w:r>
      <w:r w:rsidR="00655C26" w:rsidRPr="00424846">
        <w:rPr>
          <w:rFonts w:ascii="Arial" w:hAnsi="Arial" w:cs="Arial"/>
          <w:sz w:val="24"/>
          <w:szCs w:val="24"/>
        </w:rPr>
        <w:t xml:space="preserve">, </w:t>
      </w:r>
      <w:r w:rsidR="00441D7E" w:rsidRPr="00424846">
        <w:rPr>
          <w:rFonts w:ascii="Arial" w:hAnsi="Arial" w:cs="Arial"/>
          <w:sz w:val="24"/>
          <w:szCs w:val="24"/>
        </w:rPr>
        <w:t>i</w:t>
      </w:r>
      <w:r w:rsidR="00F87900" w:rsidRPr="00424846">
        <w:rPr>
          <w:rFonts w:ascii="Arial" w:hAnsi="Arial" w:cs="Arial"/>
          <w:sz w:val="24"/>
          <w:szCs w:val="24"/>
        </w:rPr>
        <w:t xml:space="preserve">t is clear to see that the prohibition of torture, either by domestic </w:t>
      </w:r>
      <w:r w:rsidR="006D6EB3" w:rsidRPr="00424846">
        <w:rPr>
          <w:rFonts w:ascii="Arial" w:hAnsi="Arial" w:cs="Arial"/>
          <w:sz w:val="24"/>
          <w:szCs w:val="24"/>
        </w:rPr>
        <w:t xml:space="preserve">or </w:t>
      </w:r>
      <w:r w:rsidR="00F87900" w:rsidRPr="00424846">
        <w:rPr>
          <w:rFonts w:ascii="Arial" w:hAnsi="Arial" w:cs="Arial"/>
          <w:sz w:val="24"/>
          <w:szCs w:val="24"/>
        </w:rPr>
        <w:t xml:space="preserve">international </w:t>
      </w:r>
      <w:r w:rsidR="006D6EB3" w:rsidRPr="00424846">
        <w:rPr>
          <w:rFonts w:ascii="Arial" w:hAnsi="Arial" w:cs="Arial"/>
          <w:sz w:val="24"/>
          <w:szCs w:val="24"/>
        </w:rPr>
        <w:t>law</w:t>
      </w:r>
      <w:r w:rsidR="00F87900" w:rsidRPr="00424846">
        <w:rPr>
          <w:rFonts w:ascii="Arial" w:hAnsi="Arial" w:cs="Arial"/>
          <w:sz w:val="24"/>
          <w:szCs w:val="24"/>
        </w:rPr>
        <w:t>, does not hinder state security (because state security is not aided by torture or its fruits)</w:t>
      </w:r>
      <w:r w:rsidR="00F7659D" w:rsidRPr="00424846">
        <w:rPr>
          <w:rStyle w:val="FootnoteReference"/>
          <w:rFonts w:ascii="Arial" w:hAnsi="Arial" w:cs="Arial"/>
          <w:sz w:val="24"/>
          <w:szCs w:val="24"/>
        </w:rPr>
        <w:footnoteReference w:id="100"/>
      </w:r>
      <w:r w:rsidR="006D6EB3" w:rsidRPr="00424846">
        <w:rPr>
          <w:rFonts w:ascii="Arial" w:hAnsi="Arial" w:cs="Arial"/>
          <w:sz w:val="24"/>
          <w:szCs w:val="24"/>
        </w:rPr>
        <w:t xml:space="preserve">. </w:t>
      </w:r>
    </w:p>
    <w:p w14:paraId="062D11D3" w14:textId="7F1AC98E" w:rsidR="00BF37F4" w:rsidRPr="00424846" w:rsidRDefault="00F87900" w:rsidP="00862139">
      <w:pPr>
        <w:spacing w:line="480" w:lineRule="auto"/>
        <w:jc w:val="both"/>
        <w:rPr>
          <w:rFonts w:ascii="Arial" w:hAnsi="Arial" w:cs="Arial"/>
          <w:sz w:val="24"/>
          <w:szCs w:val="24"/>
        </w:rPr>
      </w:pPr>
      <w:r w:rsidRPr="00424846">
        <w:rPr>
          <w:rFonts w:ascii="Arial" w:hAnsi="Arial" w:cs="Arial"/>
          <w:sz w:val="24"/>
          <w:szCs w:val="24"/>
        </w:rPr>
        <w:t>T</w:t>
      </w:r>
      <w:r w:rsidR="00BF37F4" w:rsidRPr="00424846">
        <w:rPr>
          <w:rFonts w:ascii="Arial" w:hAnsi="Arial" w:cs="Arial"/>
          <w:sz w:val="24"/>
          <w:szCs w:val="24"/>
        </w:rPr>
        <w:t>he</w:t>
      </w:r>
      <w:r w:rsidR="00213711" w:rsidRPr="00424846">
        <w:rPr>
          <w:rFonts w:ascii="Arial" w:hAnsi="Arial" w:cs="Arial"/>
          <w:sz w:val="24"/>
          <w:szCs w:val="24"/>
        </w:rPr>
        <w:t xml:space="preserve"> formative wording </w:t>
      </w:r>
      <w:r w:rsidR="00BF37F4" w:rsidRPr="00424846">
        <w:rPr>
          <w:rFonts w:ascii="Arial" w:hAnsi="Arial" w:cs="Arial"/>
          <w:sz w:val="24"/>
          <w:szCs w:val="24"/>
        </w:rPr>
        <w:t>of s134</w:t>
      </w:r>
      <w:r w:rsidR="00441D7E" w:rsidRPr="00424846">
        <w:rPr>
          <w:rFonts w:ascii="Arial" w:hAnsi="Arial" w:cs="Arial"/>
          <w:sz w:val="24"/>
          <w:szCs w:val="24"/>
        </w:rPr>
        <w:t>(</w:t>
      </w:r>
      <w:r w:rsidR="00BF37F4" w:rsidRPr="00424846">
        <w:rPr>
          <w:rFonts w:ascii="Arial" w:hAnsi="Arial" w:cs="Arial"/>
          <w:sz w:val="24"/>
          <w:szCs w:val="24"/>
        </w:rPr>
        <w:t>4</w:t>
      </w:r>
      <w:r w:rsidR="00441D7E" w:rsidRPr="00424846">
        <w:rPr>
          <w:rFonts w:ascii="Arial" w:hAnsi="Arial" w:cs="Arial"/>
          <w:sz w:val="24"/>
          <w:szCs w:val="24"/>
        </w:rPr>
        <w:t>)</w:t>
      </w:r>
      <w:r w:rsidR="00BF37F4" w:rsidRPr="00424846">
        <w:rPr>
          <w:rFonts w:ascii="Arial" w:hAnsi="Arial" w:cs="Arial"/>
          <w:sz w:val="24"/>
          <w:szCs w:val="24"/>
        </w:rPr>
        <w:t xml:space="preserve"> CJA and Art1.1, that either ‘excuses [or] justifies’ torture or does not define it accurately enough, </w:t>
      </w:r>
      <w:r w:rsidRPr="00424846">
        <w:rPr>
          <w:rFonts w:ascii="Arial" w:hAnsi="Arial" w:cs="Arial"/>
          <w:sz w:val="24"/>
          <w:szCs w:val="24"/>
        </w:rPr>
        <w:t xml:space="preserve">would benefit from a </w:t>
      </w:r>
      <w:r w:rsidR="00213711" w:rsidRPr="00424846">
        <w:rPr>
          <w:rFonts w:ascii="Arial" w:hAnsi="Arial" w:cs="Arial"/>
          <w:sz w:val="24"/>
          <w:szCs w:val="24"/>
        </w:rPr>
        <w:t xml:space="preserve">reform </w:t>
      </w:r>
      <w:r w:rsidRPr="00424846">
        <w:rPr>
          <w:rFonts w:ascii="Arial" w:hAnsi="Arial" w:cs="Arial"/>
          <w:sz w:val="24"/>
          <w:szCs w:val="24"/>
        </w:rPr>
        <w:t>that</w:t>
      </w:r>
      <w:r w:rsidR="00BF37F4" w:rsidRPr="00424846">
        <w:rPr>
          <w:rFonts w:ascii="Arial" w:hAnsi="Arial" w:cs="Arial"/>
          <w:sz w:val="24"/>
          <w:szCs w:val="24"/>
        </w:rPr>
        <w:t xml:space="preserve"> precisely echo</w:t>
      </w:r>
      <w:r w:rsidRPr="00424846">
        <w:rPr>
          <w:rFonts w:ascii="Arial" w:hAnsi="Arial" w:cs="Arial"/>
          <w:sz w:val="24"/>
          <w:szCs w:val="24"/>
        </w:rPr>
        <w:t>es</w:t>
      </w:r>
      <w:r w:rsidR="00BF37F4" w:rsidRPr="00424846">
        <w:rPr>
          <w:rFonts w:ascii="Arial" w:hAnsi="Arial" w:cs="Arial"/>
          <w:sz w:val="24"/>
          <w:szCs w:val="24"/>
        </w:rPr>
        <w:t xml:space="preserve"> the stance complementary case law takes towards torture</w:t>
      </w:r>
      <w:r w:rsidR="00BF37F4" w:rsidRPr="00424846">
        <w:rPr>
          <w:rStyle w:val="FootnoteReference"/>
          <w:rFonts w:ascii="Arial" w:hAnsi="Arial" w:cs="Arial"/>
          <w:sz w:val="24"/>
          <w:szCs w:val="24"/>
        </w:rPr>
        <w:footnoteReference w:id="101"/>
      </w:r>
      <w:r w:rsidR="00BF37F4" w:rsidRPr="00424846">
        <w:rPr>
          <w:rFonts w:ascii="Arial" w:hAnsi="Arial" w:cs="Arial"/>
          <w:sz w:val="24"/>
          <w:szCs w:val="24"/>
        </w:rPr>
        <w:t xml:space="preserve"> and reflect</w:t>
      </w:r>
      <w:r w:rsidRPr="00424846">
        <w:rPr>
          <w:rFonts w:ascii="Arial" w:hAnsi="Arial" w:cs="Arial"/>
          <w:sz w:val="24"/>
          <w:szCs w:val="24"/>
        </w:rPr>
        <w:t>s</w:t>
      </w:r>
      <w:r w:rsidR="00BF37F4" w:rsidRPr="00424846">
        <w:rPr>
          <w:rFonts w:ascii="Arial" w:hAnsi="Arial" w:cs="Arial"/>
          <w:sz w:val="24"/>
          <w:szCs w:val="24"/>
        </w:rPr>
        <w:t xml:space="preserve"> the </w:t>
      </w:r>
      <w:r w:rsidR="00BF37F4" w:rsidRPr="00424846">
        <w:rPr>
          <w:rFonts w:ascii="Arial" w:hAnsi="Arial" w:cs="Arial"/>
          <w:i/>
          <w:iCs/>
          <w:sz w:val="24"/>
          <w:szCs w:val="24"/>
        </w:rPr>
        <w:t>jus cogens</w:t>
      </w:r>
      <w:r w:rsidR="00BF37F4" w:rsidRPr="00424846">
        <w:rPr>
          <w:rFonts w:ascii="Arial" w:hAnsi="Arial" w:cs="Arial"/>
          <w:sz w:val="24"/>
          <w:szCs w:val="24"/>
        </w:rPr>
        <w:t xml:space="preserve"> view </w:t>
      </w:r>
      <w:r w:rsidR="00711034" w:rsidRPr="00424846">
        <w:rPr>
          <w:rFonts w:ascii="Arial" w:hAnsi="Arial" w:cs="Arial"/>
          <w:sz w:val="24"/>
          <w:szCs w:val="24"/>
        </w:rPr>
        <w:t xml:space="preserve">international organisations have </w:t>
      </w:r>
      <w:r w:rsidR="00BF37F4" w:rsidRPr="00424846">
        <w:rPr>
          <w:rFonts w:ascii="Arial" w:hAnsi="Arial" w:cs="Arial"/>
          <w:sz w:val="24"/>
          <w:szCs w:val="24"/>
        </w:rPr>
        <w:t>of torture</w:t>
      </w:r>
      <w:r w:rsidR="000670D2" w:rsidRPr="00424846">
        <w:rPr>
          <w:rStyle w:val="FootnoteReference"/>
          <w:rFonts w:ascii="Arial" w:hAnsi="Arial" w:cs="Arial"/>
          <w:sz w:val="24"/>
          <w:szCs w:val="24"/>
        </w:rPr>
        <w:footnoteReference w:id="102"/>
      </w:r>
      <w:r w:rsidR="00711034" w:rsidRPr="00424846">
        <w:rPr>
          <w:rFonts w:ascii="Arial" w:hAnsi="Arial" w:cs="Arial"/>
          <w:sz w:val="24"/>
          <w:szCs w:val="24"/>
        </w:rPr>
        <w:t xml:space="preserve">. </w:t>
      </w:r>
    </w:p>
    <w:p w14:paraId="3A18CEB8" w14:textId="77777777" w:rsidR="007F543F" w:rsidRPr="00424846" w:rsidRDefault="007F543F" w:rsidP="00862139">
      <w:pPr>
        <w:spacing w:line="480" w:lineRule="auto"/>
        <w:jc w:val="both"/>
        <w:rPr>
          <w:rFonts w:ascii="Arial" w:hAnsi="Arial" w:cs="Arial"/>
          <w:sz w:val="24"/>
          <w:szCs w:val="24"/>
        </w:rPr>
      </w:pPr>
    </w:p>
    <w:p w14:paraId="72DDD1D7" w14:textId="77777777" w:rsidR="00B017D7" w:rsidRDefault="00B017D7" w:rsidP="00862139">
      <w:pPr>
        <w:spacing w:line="480" w:lineRule="auto"/>
        <w:jc w:val="both"/>
        <w:rPr>
          <w:rFonts w:ascii="Arial" w:hAnsi="Arial" w:cs="Arial"/>
          <w:sz w:val="24"/>
          <w:szCs w:val="24"/>
        </w:rPr>
      </w:pPr>
    </w:p>
    <w:p w14:paraId="129421BA" w14:textId="77777777" w:rsidR="00B017D7" w:rsidRDefault="00B017D7" w:rsidP="00862139">
      <w:pPr>
        <w:spacing w:line="480" w:lineRule="auto"/>
        <w:jc w:val="both"/>
        <w:rPr>
          <w:rFonts w:ascii="Arial" w:hAnsi="Arial" w:cs="Arial"/>
          <w:sz w:val="24"/>
          <w:szCs w:val="24"/>
        </w:rPr>
      </w:pPr>
    </w:p>
    <w:p w14:paraId="108B0B0F" w14:textId="77777777" w:rsidR="00B017D7" w:rsidRDefault="00B017D7" w:rsidP="00862139">
      <w:pPr>
        <w:spacing w:line="480" w:lineRule="auto"/>
        <w:jc w:val="both"/>
        <w:rPr>
          <w:rFonts w:ascii="Arial" w:hAnsi="Arial" w:cs="Arial"/>
          <w:sz w:val="24"/>
          <w:szCs w:val="24"/>
        </w:rPr>
      </w:pPr>
    </w:p>
    <w:p w14:paraId="03CEA081" w14:textId="77777777" w:rsidR="00B017D7" w:rsidRDefault="00B017D7" w:rsidP="00862139">
      <w:pPr>
        <w:spacing w:line="480" w:lineRule="auto"/>
        <w:jc w:val="both"/>
        <w:rPr>
          <w:rFonts w:ascii="Arial" w:hAnsi="Arial" w:cs="Arial"/>
          <w:sz w:val="24"/>
          <w:szCs w:val="24"/>
        </w:rPr>
      </w:pPr>
    </w:p>
    <w:p w14:paraId="1D8822F7" w14:textId="77777777" w:rsidR="00B017D7" w:rsidRDefault="00B017D7" w:rsidP="00862139">
      <w:pPr>
        <w:spacing w:line="480" w:lineRule="auto"/>
        <w:jc w:val="both"/>
        <w:rPr>
          <w:rFonts w:ascii="Arial" w:hAnsi="Arial" w:cs="Arial"/>
          <w:sz w:val="24"/>
          <w:szCs w:val="24"/>
        </w:rPr>
      </w:pPr>
    </w:p>
    <w:p w14:paraId="6E0E3B9E" w14:textId="77777777" w:rsidR="00B017D7" w:rsidRDefault="00B017D7" w:rsidP="00862139">
      <w:pPr>
        <w:spacing w:line="480" w:lineRule="auto"/>
        <w:jc w:val="both"/>
        <w:rPr>
          <w:rFonts w:ascii="Arial" w:hAnsi="Arial" w:cs="Arial"/>
          <w:sz w:val="24"/>
          <w:szCs w:val="24"/>
        </w:rPr>
      </w:pPr>
    </w:p>
    <w:p w14:paraId="2C14ED0E" w14:textId="4A6A82A4" w:rsidR="00B73A22" w:rsidRPr="00B017D7" w:rsidRDefault="00CE12A3" w:rsidP="00B017D7">
      <w:pPr>
        <w:spacing w:line="480" w:lineRule="auto"/>
        <w:jc w:val="center"/>
        <w:rPr>
          <w:rFonts w:ascii="Arial" w:hAnsi="Arial" w:cs="Arial"/>
          <w:b/>
          <w:bCs/>
          <w:sz w:val="28"/>
          <w:szCs w:val="28"/>
          <w:u w:val="single"/>
        </w:rPr>
      </w:pPr>
      <w:r w:rsidRPr="00B017D7">
        <w:rPr>
          <w:rFonts w:ascii="Arial" w:hAnsi="Arial" w:cs="Arial"/>
          <w:b/>
          <w:bCs/>
          <w:sz w:val="28"/>
          <w:szCs w:val="28"/>
          <w:u w:val="single"/>
        </w:rPr>
        <w:t xml:space="preserve">Section 3: </w:t>
      </w:r>
      <w:r w:rsidR="004F3ED2" w:rsidRPr="00B017D7">
        <w:rPr>
          <w:rFonts w:ascii="Arial" w:hAnsi="Arial" w:cs="Arial"/>
          <w:b/>
          <w:bCs/>
          <w:sz w:val="28"/>
          <w:szCs w:val="28"/>
          <w:u w:val="single"/>
        </w:rPr>
        <w:t xml:space="preserve">Theories of </w:t>
      </w:r>
      <w:r w:rsidR="00B017D7">
        <w:rPr>
          <w:rFonts w:ascii="Arial" w:hAnsi="Arial" w:cs="Arial"/>
          <w:b/>
          <w:bCs/>
          <w:sz w:val="28"/>
          <w:szCs w:val="28"/>
          <w:u w:val="single"/>
        </w:rPr>
        <w:t>T</w:t>
      </w:r>
      <w:r w:rsidR="004F3ED2" w:rsidRPr="00B017D7">
        <w:rPr>
          <w:rFonts w:ascii="Arial" w:hAnsi="Arial" w:cs="Arial"/>
          <w:b/>
          <w:bCs/>
          <w:sz w:val="28"/>
          <w:szCs w:val="28"/>
          <w:u w:val="single"/>
        </w:rPr>
        <w:t>orture</w:t>
      </w:r>
    </w:p>
    <w:p w14:paraId="77EEAD79" w14:textId="34C52A98" w:rsidR="001C5181" w:rsidRPr="00424846" w:rsidRDefault="00A41F44" w:rsidP="00862139">
      <w:pPr>
        <w:spacing w:line="480" w:lineRule="auto"/>
        <w:jc w:val="both"/>
        <w:rPr>
          <w:rFonts w:ascii="Arial" w:hAnsi="Arial" w:cs="Arial"/>
          <w:sz w:val="24"/>
          <w:szCs w:val="24"/>
        </w:rPr>
      </w:pPr>
      <w:r w:rsidRPr="00424846">
        <w:rPr>
          <w:rFonts w:ascii="Arial" w:hAnsi="Arial" w:cs="Arial"/>
          <w:sz w:val="24"/>
          <w:szCs w:val="24"/>
        </w:rPr>
        <w:t>Despite</w:t>
      </w:r>
      <w:r w:rsidR="00CE12A3" w:rsidRPr="00424846">
        <w:rPr>
          <w:rFonts w:ascii="Arial" w:hAnsi="Arial" w:cs="Arial"/>
          <w:sz w:val="24"/>
          <w:szCs w:val="24"/>
        </w:rPr>
        <w:t xml:space="preserve">, </w:t>
      </w:r>
      <w:r w:rsidRPr="00424846">
        <w:rPr>
          <w:rFonts w:ascii="Arial" w:hAnsi="Arial" w:cs="Arial"/>
          <w:sz w:val="24"/>
          <w:szCs w:val="24"/>
        </w:rPr>
        <w:t>international organisations not having a working definition of Terrorism</w:t>
      </w:r>
      <w:r w:rsidR="007D2086" w:rsidRPr="00424846">
        <w:rPr>
          <w:rStyle w:val="FootnoteReference"/>
          <w:rFonts w:ascii="Arial" w:hAnsi="Arial" w:cs="Arial"/>
          <w:sz w:val="24"/>
          <w:szCs w:val="24"/>
        </w:rPr>
        <w:footnoteReference w:id="103"/>
      </w:r>
      <w:r w:rsidRPr="00424846">
        <w:rPr>
          <w:rFonts w:ascii="Arial" w:hAnsi="Arial" w:cs="Arial"/>
          <w:sz w:val="24"/>
          <w:szCs w:val="24"/>
        </w:rPr>
        <w:t xml:space="preserve">, </w:t>
      </w:r>
      <w:r w:rsidR="00652BF5" w:rsidRPr="00424846">
        <w:rPr>
          <w:rFonts w:ascii="Arial" w:hAnsi="Arial" w:cs="Arial"/>
          <w:sz w:val="24"/>
          <w:szCs w:val="24"/>
        </w:rPr>
        <w:t xml:space="preserve">Yugal </w:t>
      </w:r>
      <w:r w:rsidRPr="00424846">
        <w:rPr>
          <w:rFonts w:ascii="Arial" w:hAnsi="Arial" w:cs="Arial"/>
          <w:sz w:val="24"/>
          <w:szCs w:val="24"/>
        </w:rPr>
        <w:t>Ginbar describes Terrorism as a ‘person wilfully engaged in attacks</w:t>
      </w:r>
      <w:r w:rsidR="00E11133" w:rsidRPr="00424846">
        <w:rPr>
          <w:rFonts w:ascii="Arial" w:hAnsi="Arial" w:cs="Arial"/>
          <w:sz w:val="24"/>
          <w:szCs w:val="24"/>
        </w:rPr>
        <w:t>…</w:t>
      </w:r>
      <w:r w:rsidRPr="00424846">
        <w:rPr>
          <w:rFonts w:ascii="Arial" w:hAnsi="Arial" w:cs="Arial"/>
          <w:sz w:val="24"/>
          <w:szCs w:val="24"/>
        </w:rPr>
        <w:t>targeting civilians</w:t>
      </w:r>
      <w:r w:rsidR="00E11133" w:rsidRPr="00424846">
        <w:rPr>
          <w:rFonts w:ascii="Arial" w:hAnsi="Arial" w:cs="Arial"/>
          <w:sz w:val="24"/>
          <w:szCs w:val="24"/>
        </w:rPr>
        <w:t xml:space="preserve">, </w:t>
      </w:r>
      <w:r w:rsidRPr="00424846">
        <w:rPr>
          <w:rFonts w:ascii="Arial" w:hAnsi="Arial" w:cs="Arial"/>
          <w:sz w:val="24"/>
          <w:szCs w:val="24"/>
        </w:rPr>
        <w:t>whose only ‘culpability’ is their perceived ethnic, religious</w:t>
      </w:r>
      <w:r w:rsidR="00E11133" w:rsidRPr="00424846">
        <w:rPr>
          <w:rFonts w:ascii="Arial" w:hAnsi="Arial" w:cs="Arial"/>
          <w:sz w:val="24"/>
          <w:szCs w:val="24"/>
        </w:rPr>
        <w:t>…</w:t>
      </w:r>
      <w:r w:rsidRPr="00424846">
        <w:rPr>
          <w:rFonts w:ascii="Arial" w:hAnsi="Arial" w:cs="Arial"/>
          <w:sz w:val="24"/>
          <w:szCs w:val="24"/>
        </w:rPr>
        <w:t>identity</w:t>
      </w:r>
      <w:r w:rsidR="00355371" w:rsidRPr="00424846">
        <w:rPr>
          <w:rFonts w:ascii="Arial" w:hAnsi="Arial" w:cs="Arial"/>
          <w:sz w:val="24"/>
          <w:szCs w:val="24"/>
        </w:rPr>
        <w:t xml:space="preserve"> </w:t>
      </w:r>
      <w:r w:rsidRPr="00424846">
        <w:rPr>
          <w:rFonts w:ascii="Arial" w:hAnsi="Arial" w:cs="Arial"/>
          <w:sz w:val="24"/>
          <w:szCs w:val="24"/>
        </w:rPr>
        <w:t>in an effort to kill them to forward some political or ideological aim’</w:t>
      </w:r>
      <w:r w:rsidR="00E4412C" w:rsidRPr="00424846">
        <w:rPr>
          <w:rStyle w:val="FootnoteReference"/>
          <w:rFonts w:ascii="Arial" w:hAnsi="Arial" w:cs="Arial"/>
          <w:sz w:val="24"/>
          <w:szCs w:val="24"/>
        </w:rPr>
        <w:footnoteReference w:id="104"/>
      </w:r>
      <w:r w:rsidRPr="00424846">
        <w:rPr>
          <w:rFonts w:ascii="Arial" w:hAnsi="Arial" w:cs="Arial"/>
          <w:sz w:val="24"/>
          <w:szCs w:val="24"/>
        </w:rPr>
        <w:t xml:space="preserve">. </w:t>
      </w:r>
      <w:r w:rsidR="00254550" w:rsidRPr="00424846">
        <w:rPr>
          <w:rFonts w:ascii="Arial" w:hAnsi="Arial" w:cs="Arial"/>
          <w:sz w:val="24"/>
          <w:szCs w:val="24"/>
        </w:rPr>
        <w:t>If we use this working definition</w:t>
      </w:r>
      <w:r w:rsidR="00FB5F94" w:rsidRPr="00424846">
        <w:rPr>
          <w:rFonts w:ascii="Arial" w:hAnsi="Arial" w:cs="Arial"/>
          <w:sz w:val="24"/>
          <w:szCs w:val="24"/>
        </w:rPr>
        <w:t xml:space="preserve">, </w:t>
      </w:r>
      <w:r w:rsidR="00355371" w:rsidRPr="00424846">
        <w:rPr>
          <w:rFonts w:ascii="Arial" w:hAnsi="Arial" w:cs="Arial"/>
          <w:sz w:val="24"/>
          <w:szCs w:val="24"/>
        </w:rPr>
        <w:t>there is a</w:t>
      </w:r>
      <w:r w:rsidR="00271752" w:rsidRPr="00424846">
        <w:rPr>
          <w:rFonts w:ascii="Arial" w:hAnsi="Arial" w:cs="Arial"/>
          <w:sz w:val="24"/>
          <w:szCs w:val="24"/>
        </w:rPr>
        <w:t xml:space="preserve"> uniform agre</w:t>
      </w:r>
      <w:r w:rsidR="00355371" w:rsidRPr="00424846">
        <w:rPr>
          <w:rFonts w:ascii="Arial" w:hAnsi="Arial" w:cs="Arial"/>
          <w:sz w:val="24"/>
          <w:szCs w:val="24"/>
        </w:rPr>
        <w:t>ement</w:t>
      </w:r>
      <w:r w:rsidR="00271752" w:rsidRPr="00424846">
        <w:rPr>
          <w:rFonts w:ascii="Arial" w:hAnsi="Arial" w:cs="Arial"/>
          <w:sz w:val="24"/>
          <w:szCs w:val="24"/>
        </w:rPr>
        <w:t xml:space="preserve"> that state</w:t>
      </w:r>
      <w:r w:rsidR="00355371" w:rsidRPr="00424846">
        <w:rPr>
          <w:rFonts w:ascii="Arial" w:hAnsi="Arial" w:cs="Arial"/>
          <w:sz w:val="24"/>
          <w:szCs w:val="24"/>
        </w:rPr>
        <w:t>s</w:t>
      </w:r>
      <w:r w:rsidR="00271752" w:rsidRPr="00424846">
        <w:rPr>
          <w:rFonts w:ascii="Arial" w:hAnsi="Arial" w:cs="Arial"/>
          <w:sz w:val="24"/>
          <w:szCs w:val="24"/>
        </w:rPr>
        <w:t xml:space="preserve"> will never use torture to obtain</w:t>
      </w:r>
      <w:r w:rsidR="00C35A0A" w:rsidRPr="00424846">
        <w:rPr>
          <w:rFonts w:ascii="Arial" w:hAnsi="Arial" w:cs="Arial"/>
          <w:sz w:val="24"/>
          <w:szCs w:val="24"/>
        </w:rPr>
        <w:t xml:space="preserve"> </w:t>
      </w:r>
      <w:r w:rsidR="001C5181" w:rsidRPr="00424846">
        <w:rPr>
          <w:rFonts w:ascii="Arial" w:hAnsi="Arial" w:cs="Arial"/>
          <w:sz w:val="24"/>
          <w:szCs w:val="24"/>
        </w:rPr>
        <w:t>a confession</w:t>
      </w:r>
      <w:r w:rsidR="00254550" w:rsidRPr="00424846">
        <w:rPr>
          <w:rStyle w:val="FootnoteReference"/>
          <w:rFonts w:ascii="Arial" w:hAnsi="Arial" w:cs="Arial"/>
          <w:sz w:val="24"/>
          <w:szCs w:val="24"/>
        </w:rPr>
        <w:footnoteReference w:id="105"/>
      </w:r>
      <w:r w:rsidR="00271752" w:rsidRPr="00424846">
        <w:rPr>
          <w:rFonts w:ascii="Arial" w:hAnsi="Arial" w:cs="Arial"/>
          <w:sz w:val="24"/>
          <w:szCs w:val="24"/>
        </w:rPr>
        <w:t xml:space="preserve"> </w:t>
      </w:r>
      <w:r w:rsidR="00C35A0A" w:rsidRPr="00424846">
        <w:rPr>
          <w:rFonts w:ascii="Arial" w:hAnsi="Arial" w:cs="Arial"/>
          <w:sz w:val="24"/>
          <w:szCs w:val="24"/>
        </w:rPr>
        <w:t xml:space="preserve"> or to support </w:t>
      </w:r>
      <w:r w:rsidR="00F2104E" w:rsidRPr="00424846">
        <w:rPr>
          <w:rFonts w:ascii="Arial" w:hAnsi="Arial" w:cs="Arial"/>
          <w:sz w:val="24"/>
          <w:szCs w:val="24"/>
        </w:rPr>
        <w:t>the</w:t>
      </w:r>
      <w:r w:rsidR="00C35A0A" w:rsidRPr="00424846">
        <w:rPr>
          <w:rFonts w:ascii="Arial" w:hAnsi="Arial" w:cs="Arial"/>
          <w:sz w:val="24"/>
          <w:szCs w:val="24"/>
        </w:rPr>
        <w:t xml:space="preserve"> prosecution</w:t>
      </w:r>
      <w:r w:rsidR="002855A3" w:rsidRPr="00424846">
        <w:rPr>
          <w:rStyle w:val="FootnoteReference"/>
          <w:rFonts w:ascii="Arial" w:hAnsi="Arial" w:cs="Arial"/>
          <w:sz w:val="24"/>
          <w:szCs w:val="24"/>
        </w:rPr>
        <w:footnoteReference w:id="106"/>
      </w:r>
      <w:r w:rsidR="002111D7" w:rsidRPr="00424846">
        <w:rPr>
          <w:rFonts w:ascii="Arial" w:hAnsi="Arial" w:cs="Arial"/>
          <w:sz w:val="24"/>
          <w:szCs w:val="24"/>
        </w:rPr>
        <w:t xml:space="preserve"> </w:t>
      </w:r>
      <w:r w:rsidR="00F2104E" w:rsidRPr="00424846">
        <w:rPr>
          <w:rFonts w:ascii="Arial" w:hAnsi="Arial" w:cs="Arial"/>
          <w:sz w:val="24"/>
          <w:szCs w:val="24"/>
        </w:rPr>
        <w:t>of a terrorist</w:t>
      </w:r>
      <w:r w:rsidR="00445597" w:rsidRPr="00424846">
        <w:rPr>
          <w:rFonts w:ascii="Arial" w:hAnsi="Arial" w:cs="Arial"/>
          <w:sz w:val="24"/>
          <w:szCs w:val="24"/>
        </w:rPr>
        <w:t xml:space="preserve">, especially, </w:t>
      </w:r>
      <w:r w:rsidR="00A272C8" w:rsidRPr="00424846">
        <w:rPr>
          <w:rFonts w:ascii="Arial" w:hAnsi="Arial" w:cs="Arial"/>
          <w:sz w:val="24"/>
          <w:szCs w:val="24"/>
        </w:rPr>
        <w:t xml:space="preserve">not </w:t>
      </w:r>
      <w:r w:rsidR="00445597" w:rsidRPr="00424846">
        <w:rPr>
          <w:rFonts w:ascii="Arial" w:hAnsi="Arial" w:cs="Arial"/>
          <w:sz w:val="24"/>
          <w:szCs w:val="24"/>
        </w:rPr>
        <w:t xml:space="preserve">in </w:t>
      </w:r>
      <w:r w:rsidR="00A272C8" w:rsidRPr="00424846">
        <w:rPr>
          <w:rFonts w:ascii="Arial" w:hAnsi="Arial" w:cs="Arial"/>
          <w:sz w:val="24"/>
          <w:szCs w:val="24"/>
        </w:rPr>
        <w:t xml:space="preserve">circumstances Dershowitz describes as, </w:t>
      </w:r>
      <w:r w:rsidR="00AA1AC0" w:rsidRPr="00424846">
        <w:rPr>
          <w:rFonts w:ascii="Arial" w:hAnsi="Arial" w:cs="Arial"/>
          <w:sz w:val="24"/>
          <w:szCs w:val="24"/>
        </w:rPr>
        <w:t>the</w:t>
      </w:r>
      <w:r w:rsidR="000D07F0" w:rsidRPr="00424846">
        <w:rPr>
          <w:rFonts w:ascii="Arial" w:hAnsi="Arial" w:cs="Arial"/>
          <w:sz w:val="24"/>
          <w:szCs w:val="24"/>
        </w:rPr>
        <w:t xml:space="preserve"> Ticking Bomb Scenario (TBS). </w:t>
      </w:r>
    </w:p>
    <w:p w14:paraId="728B0071" w14:textId="33122153" w:rsidR="00B73A22" w:rsidRPr="00B017D7" w:rsidRDefault="00B73A22" w:rsidP="00B017D7">
      <w:pPr>
        <w:spacing w:line="480" w:lineRule="auto"/>
        <w:jc w:val="center"/>
        <w:rPr>
          <w:rFonts w:ascii="Arial" w:hAnsi="Arial" w:cs="Arial"/>
          <w:b/>
          <w:bCs/>
          <w:sz w:val="24"/>
          <w:szCs w:val="24"/>
          <w:u w:val="single"/>
        </w:rPr>
      </w:pPr>
      <w:r w:rsidRPr="00B017D7">
        <w:rPr>
          <w:rFonts w:ascii="Arial" w:hAnsi="Arial" w:cs="Arial"/>
          <w:b/>
          <w:bCs/>
          <w:sz w:val="24"/>
          <w:szCs w:val="24"/>
          <w:u w:val="single"/>
        </w:rPr>
        <w:t>TBS:</w:t>
      </w:r>
      <w:r w:rsidR="00F75474" w:rsidRPr="00B017D7">
        <w:rPr>
          <w:rFonts w:ascii="Arial" w:hAnsi="Arial" w:cs="Arial"/>
          <w:b/>
          <w:bCs/>
          <w:sz w:val="24"/>
          <w:szCs w:val="24"/>
          <w:u w:val="single"/>
        </w:rPr>
        <w:t xml:space="preserve"> </w:t>
      </w:r>
      <w:r w:rsidR="00652BF5" w:rsidRPr="00B017D7">
        <w:rPr>
          <w:rFonts w:ascii="Arial" w:hAnsi="Arial" w:cs="Arial"/>
          <w:b/>
          <w:bCs/>
          <w:sz w:val="24"/>
          <w:szCs w:val="24"/>
          <w:u w:val="single"/>
        </w:rPr>
        <w:t>F</w:t>
      </w:r>
      <w:r w:rsidR="00F75474" w:rsidRPr="00B017D7">
        <w:rPr>
          <w:rFonts w:ascii="Arial" w:hAnsi="Arial" w:cs="Arial"/>
          <w:b/>
          <w:bCs/>
          <w:sz w:val="24"/>
          <w:szCs w:val="24"/>
          <w:u w:val="single"/>
        </w:rPr>
        <w:t xml:space="preserve">or </w:t>
      </w:r>
      <w:r w:rsidR="00652BF5" w:rsidRPr="00B017D7">
        <w:rPr>
          <w:rFonts w:ascii="Arial" w:hAnsi="Arial" w:cs="Arial"/>
          <w:b/>
          <w:bCs/>
          <w:sz w:val="24"/>
          <w:szCs w:val="24"/>
          <w:u w:val="single"/>
        </w:rPr>
        <w:t>vs.</w:t>
      </w:r>
      <w:r w:rsidR="00F75474" w:rsidRPr="00B017D7">
        <w:rPr>
          <w:rFonts w:ascii="Arial" w:hAnsi="Arial" w:cs="Arial"/>
          <w:b/>
          <w:bCs/>
          <w:sz w:val="24"/>
          <w:szCs w:val="24"/>
          <w:u w:val="single"/>
        </w:rPr>
        <w:t xml:space="preserve"> </w:t>
      </w:r>
      <w:r w:rsidR="00652BF5" w:rsidRPr="00B017D7">
        <w:rPr>
          <w:rFonts w:ascii="Arial" w:hAnsi="Arial" w:cs="Arial"/>
          <w:b/>
          <w:bCs/>
          <w:sz w:val="24"/>
          <w:szCs w:val="24"/>
          <w:u w:val="single"/>
        </w:rPr>
        <w:t>A</w:t>
      </w:r>
      <w:r w:rsidR="00F75474" w:rsidRPr="00B017D7">
        <w:rPr>
          <w:rFonts w:ascii="Arial" w:hAnsi="Arial" w:cs="Arial"/>
          <w:b/>
          <w:bCs/>
          <w:sz w:val="24"/>
          <w:szCs w:val="24"/>
          <w:u w:val="single"/>
        </w:rPr>
        <w:t>gainst</w:t>
      </w:r>
      <w:r w:rsidR="00B017D7">
        <w:rPr>
          <w:rFonts w:ascii="Arial" w:hAnsi="Arial" w:cs="Arial"/>
          <w:b/>
          <w:bCs/>
          <w:sz w:val="24"/>
          <w:szCs w:val="24"/>
          <w:u w:val="single"/>
        </w:rPr>
        <w:t>:</w:t>
      </w:r>
    </w:p>
    <w:p w14:paraId="1131A9BE" w14:textId="3060A196" w:rsidR="00F2104E" w:rsidRPr="00424846" w:rsidRDefault="000D07F0" w:rsidP="00862139">
      <w:pPr>
        <w:spacing w:line="480" w:lineRule="auto"/>
        <w:jc w:val="both"/>
        <w:rPr>
          <w:rFonts w:ascii="Arial" w:hAnsi="Arial" w:cs="Arial"/>
          <w:sz w:val="24"/>
          <w:szCs w:val="24"/>
        </w:rPr>
      </w:pPr>
      <w:r w:rsidRPr="00424846">
        <w:rPr>
          <w:rFonts w:ascii="Arial" w:hAnsi="Arial" w:cs="Arial"/>
          <w:sz w:val="24"/>
          <w:szCs w:val="24"/>
        </w:rPr>
        <w:t>According to Dershowitz, the T</w:t>
      </w:r>
      <w:r w:rsidR="00B165F2" w:rsidRPr="00424846">
        <w:rPr>
          <w:rFonts w:ascii="Arial" w:hAnsi="Arial" w:cs="Arial"/>
          <w:sz w:val="24"/>
          <w:szCs w:val="24"/>
        </w:rPr>
        <w:t>BS</w:t>
      </w:r>
      <w:r w:rsidRPr="00424846">
        <w:rPr>
          <w:rFonts w:ascii="Arial" w:hAnsi="Arial" w:cs="Arial"/>
          <w:sz w:val="24"/>
          <w:szCs w:val="24"/>
        </w:rPr>
        <w:t xml:space="preserve"> is </w:t>
      </w:r>
      <w:r w:rsidR="00F31A20" w:rsidRPr="00424846">
        <w:rPr>
          <w:rFonts w:ascii="Arial" w:hAnsi="Arial" w:cs="Arial"/>
          <w:sz w:val="24"/>
          <w:szCs w:val="24"/>
        </w:rPr>
        <w:t xml:space="preserve">a theoretical scenario wherein a terrorist </w:t>
      </w:r>
      <w:r w:rsidR="00E4412C" w:rsidRPr="00424846">
        <w:rPr>
          <w:rFonts w:ascii="Arial" w:hAnsi="Arial" w:cs="Arial"/>
          <w:sz w:val="24"/>
          <w:szCs w:val="24"/>
        </w:rPr>
        <w:t xml:space="preserve">has hypothetically planted a bomb or has knowledge of an imminent terrorist attack that will lead to the death of many innocent people, </w:t>
      </w:r>
      <w:r w:rsidR="000E01EC" w:rsidRPr="00424846">
        <w:rPr>
          <w:rFonts w:ascii="Arial" w:hAnsi="Arial" w:cs="Arial"/>
          <w:sz w:val="24"/>
          <w:szCs w:val="24"/>
        </w:rPr>
        <w:t xml:space="preserve">in response, </w:t>
      </w:r>
      <w:r w:rsidR="00E4412C" w:rsidRPr="00424846">
        <w:rPr>
          <w:rFonts w:ascii="Arial" w:hAnsi="Arial" w:cs="Arial"/>
          <w:sz w:val="24"/>
          <w:szCs w:val="24"/>
        </w:rPr>
        <w:t>should the authorities torture him to retrieve the information needed to dismantle the bomb and save the lives of</w:t>
      </w:r>
      <w:r w:rsidR="00355371" w:rsidRPr="00424846">
        <w:rPr>
          <w:rFonts w:ascii="Arial" w:hAnsi="Arial" w:cs="Arial"/>
          <w:sz w:val="24"/>
          <w:szCs w:val="24"/>
        </w:rPr>
        <w:t xml:space="preserve"> </w:t>
      </w:r>
      <w:r w:rsidR="00E4412C" w:rsidRPr="00424846">
        <w:rPr>
          <w:rFonts w:ascii="Arial" w:hAnsi="Arial" w:cs="Arial"/>
          <w:sz w:val="24"/>
          <w:szCs w:val="24"/>
        </w:rPr>
        <w:t>innocent people</w:t>
      </w:r>
      <w:r w:rsidR="002855A3" w:rsidRPr="00424846">
        <w:rPr>
          <w:rStyle w:val="FootnoteReference"/>
          <w:rFonts w:ascii="Arial" w:hAnsi="Arial" w:cs="Arial"/>
          <w:sz w:val="24"/>
          <w:szCs w:val="24"/>
        </w:rPr>
        <w:footnoteReference w:id="107"/>
      </w:r>
      <w:r w:rsidR="00355371" w:rsidRPr="00424846">
        <w:rPr>
          <w:rFonts w:ascii="Arial" w:hAnsi="Arial" w:cs="Arial"/>
          <w:sz w:val="24"/>
          <w:szCs w:val="24"/>
        </w:rPr>
        <w:t>?</w:t>
      </w:r>
      <w:r w:rsidR="00F95AEC" w:rsidRPr="00424846">
        <w:rPr>
          <w:rFonts w:ascii="Arial" w:hAnsi="Arial" w:cs="Arial"/>
          <w:sz w:val="24"/>
          <w:szCs w:val="24"/>
        </w:rPr>
        <w:t xml:space="preserve">     </w:t>
      </w:r>
      <w:r w:rsidR="00E4412C" w:rsidRPr="00424846">
        <w:rPr>
          <w:rFonts w:ascii="Arial" w:hAnsi="Arial" w:cs="Arial"/>
          <w:sz w:val="24"/>
          <w:szCs w:val="24"/>
        </w:rPr>
        <w:t xml:space="preserve">This consequentialist argument </w:t>
      </w:r>
      <w:r w:rsidR="001C5181" w:rsidRPr="00424846">
        <w:rPr>
          <w:rFonts w:ascii="Arial" w:hAnsi="Arial" w:cs="Arial"/>
          <w:sz w:val="24"/>
          <w:szCs w:val="24"/>
        </w:rPr>
        <w:t xml:space="preserve">can be applied on a macro-scale to countries who </w:t>
      </w:r>
      <w:r w:rsidR="00F2104E" w:rsidRPr="00424846">
        <w:rPr>
          <w:rFonts w:ascii="Arial" w:hAnsi="Arial" w:cs="Arial"/>
          <w:sz w:val="24"/>
          <w:szCs w:val="24"/>
        </w:rPr>
        <w:t>may face a similar theoretical threat</w:t>
      </w:r>
      <w:r w:rsidR="00CE12A3" w:rsidRPr="00424846">
        <w:rPr>
          <w:rFonts w:ascii="Arial" w:hAnsi="Arial" w:cs="Arial"/>
          <w:sz w:val="24"/>
          <w:szCs w:val="24"/>
        </w:rPr>
        <w:t>.</w:t>
      </w:r>
      <w:r w:rsidR="00F2104E" w:rsidRPr="00424846">
        <w:rPr>
          <w:rFonts w:ascii="Arial" w:hAnsi="Arial" w:cs="Arial"/>
          <w:sz w:val="24"/>
          <w:szCs w:val="24"/>
        </w:rPr>
        <w:t xml:space="preserve"> </w:t>
      </w:r>
      <w:r w:rsidR="000E01EC" w:rsidRPr="00424846">
        <w:rPr>
          <w:rFonts w:ascii="Arial" w:hAnsi="Arial" w:cs="Arial"/>
          <w:sz w:val="24"/>
          <w:szCs w:val="24"/>
        </w:rPr>
        <w:t>T</w:t>
      </w:r>
      <w:r w:rsidR="00F2104E" w:rsidRPr="00424846">
        <w:rPr>
          <w:rFonts w:ascii="Arial" w:hAnsi="Arial" w:cs="Arial"/>
          <w:sz w:val="24"/>
          <w:szCs w:val="24"/>
        </w:rPr>
        <w:t xml:space="preserve">hey could </w:t>
      </w:r>
      <w:r w:rsidR="001C5181" w:rsidRPr="00424846">
        <w:rPr>
          <w:rFonts w:ascii="Arial" w:hAnsi="Arial" w:cs="Arial"/>
          <w:sz w:val="24"/>
          <w:szCs w:val="24"/>
        </w:rPr>
        <w:t>tortur</w:t>
      </w:r>
      <w:r w:rsidR="00F2104E" w:rsidRPr="00424846">
        <w:rPr>
          <w:rFonts w:ascii="Arial" w:hAnsi="Arial" w:cs="Arial"/>
          <w:sz w:val="24"/>
          <w:szCs w:val="24"/>
        </w:rPr>
        <w:t>e</w:t>
      </w:r>
      <w:r w:rsidR="001C5181" w:rsidRPr="00424846">
        <w:rPr>
          <w:rFonts w:ascii="Arial" w:hAnsi="Arial" w:cs="Arial"/>
          <w:sz w:val="24"/>
          <w:szCs w:val="24"/>
        </w:rPr>
        <w:t xml:space="preserve"> the terrorist to obtain information that will save the lives of</w:t>
      </w:r>
      <w:r w:rsidR="00F2104E" w:rsidRPr="00424846">
        <w:rPr>
          <w:rFonts w:ascii="Arial" w:hAnsi="Arial" w:cs="Arial"/>
          <w:sz w:val="24"/>
          <w:szCs w:val="24"/>
        </w:rPr>
        <w:t xml:space="preserve"> </w:t>
      </w:r>
      <w:r w:rsidR="001C5181" w:rsidRPr="00424846">
        <w:rPr>
          <w:rFonts w:ascii="Arial" w:hAnsi="Arial" w:cs="Arial"/>
          <w:sz w:val="24"/>
          <w:szCs w:val="24"/>
        </w:rPr>
        <w:t>thousands of their citizens</w:t>
      </w:r>
      <w:r w:rsidR="00695B98" w:rsidRPr="00424846">
        <w:rPr>
          <w:rFonts w:ascii="Arial" w:hAnsi="Arial" w:cs="Arial"/>
          <w:sz w:val="24"/>
          <w:szCs w:val="24"/>
        </w:rPr>
        <w:t xml:space="preserve">, or, </w:t>
      </w:r>
      <w:r w:rsidR="001C5181" w:rsidRPr="00424846">
        <w:rPr>
          <w:rFonts w:ascii="Arial" w:hAnsi="Arial" w:cs="Arial"/>
          <w:sz w:val="24"/>
          <w:szCs w:val="24"/>
        </w:rPr>
        <w:t>refrain from torturing him</w:t>
      </w:r>
      <w:r w:rsidR="00F95AEC" w:rsidRPr="00424846">
        <w:rPr>
          <w:rFonts w:ascii="Arial" w:hAnsi="Arial" w:cs="Arial"/>
          <w:sz w:val="24"/>
          <w:szCs w:val="24"/>
        </w:rPr>
        <w:t xml:space="preserve"> (</w:t>
      </w:r>
      <w:r w:rsidR="001C5181" w:rsidRPr="00424846">
        <w:rPr>
          <w:rFonts w:ascii="Arial" w:hAnsi="Arial" w:cs="Arial"/>
          <w:sz w:val="24"/>
          <w:szCs w:val="24"/>
        </w:rPr>
        <w:t xml:space="preserve">due to </w:t>
      </w:r>
      <w:r w:rsidR="00F2104E" w:rsidRPr="00424846">
        <w:rPr>
          <w:rFonts w:ascii="Arial" w:hAnsi="Arial" w:cs="Arial"/>
          <w:sz w:val="24"/>
          <w:szCs w:val="24"/>
        </w:rPr>
        <w:t>its absolute illegality</w:t>
      </w:r>
      <w:r w:rsidR="00F95AEC" w:rsidRPr="00424846">
        <w:rPr>
          <w:rFonts w:ascii="Arial" w:hAnsi="Arial" w:cs="Arial"/>
          <w:sz w:val="24"/>
          <w:szCs w:val="24"/>
        </w:rPr>
        <w:t>)</w:t>
      </w:r>
      <w:r w:rsidR="00695B98" w:rsidRPr="00424846">
        <w:rPr>
          <w:rFonts w:ascii="Arial" w:hAnsi="Arial" w:cs="Arial"/>
          <w:sz w:val="24"/>
          <w:szCs w:val="24"/>
        </w:rPr>
        <w:t xml:space="preserve">, or, </w:t>
      </w:r>
      <w:r w:rsidR="005972D6" w:rsidRPr="00424846">
        <w:rPr>
          <w:rFonts w:ascii="Arial" w:hAnsi="Arial" w:cs="Arial"/>
          <w:sz w:val="24"/>
          <w:szCs w:val="24"/>
        </w:rPr>
        <w:t xml:space="preserve">criticise the </w:t>
      </w:r>
      <w:r w:rsidR="00CE12A3" w:rsidRPr="00424846">
        <w:rPr>
          <w:rFonts w:ascii="Arial" w:hAnsi="Arial" w:cs="Arial"/>
          <w:sz w:val="24"/>
          <w:szCs w:val="24"/>
        </w:rPr>
        <w:t xml:space="preserve">theoretical </w:t>
      </w:r>
      <w:r w:rsidR="005972D6" w:rsidRPr="00424846">
        <w:rPr>
          <w:rFonts w:ascii="Arial" w:hAnsi="Arial" w:cs="Arial"/>
          <w:sz w:val="24"/>
          <w:szCs w:val="24"/>
        </w:rPr>
        <w:t xml:space="preserve">scenario </w:t>
      </w:r>
      <w:r w:rsidR="00F2104E" w:rsidRPr="00424846">
        <w:rPr>
          <w:rFonts w:ascii="Arial" w:hAnsi="Arial" w:cs="Arial"/>
          <w:sz w:val="24"/>
          <w:szCs w:val="24"/>
        </w:rPr>
        <w:t>for being unrealistic</w:t>
      </w:r>
      <w:r w:rsidR="00CE12A3" w:rsidRPr="00424846">
        <w:rPr>
          <w:rFonts w:ascii="Arial" w:hAnsi="Arial" w:cs="Arial"/>
          <w:sz w:val="24"/>
          <w:szCs w:val="24"/>
        </w:rPr>
        <w:t>, as</w:t>
      </w:r>
      <w:r w:rsidR="00695B98" w:rsidRPr="00424846">
        <w:rPr>
          <w:rFonts w:ascii="Arial" w:hAnsi="Arial" w:cs="Arial"/>
          <w:sz w:val="24"/>
          <w:szCs w:val="24"/>
        </w:rPr>
        <w:t>,</w:t>
      </w:r>
      <w:r w:rsidR="00CE12A3" w:rsidRPr="00424846">
        <w:rPr>
          <w:rFonts w:ascii="Arial" w:hAnsi="Arial" w:cs="Arial"/>
          <w:sz w:val="24"/>
          <w:szCs w:val="24"/>
        </w:rPr>
        <w:t xml:space="preserve"> in reality, we may not know whether a suspect</w:t>
      </w:r>
      <w:r w:rsidR="002855A3" w:rsidRPr="00424846">
        <w:rPr>
          <w:rFonts w:ascii="Arial" w:hAnsi="Arial" w:cs="Arial"/>
          <w:sz w:val="24"/>
          <w:szCs w:val="24"/>
        </w:rPr>
        <w:t xml:space="preserve"> </w:t>
      </w:r>
      <w:r w:rsidR="00CE12A3" w:rsidRPr="00424846">
        <w:rPr>
          <w:rFonts w:ascii="Arial" w:hAnsi="Arial" w:cs="Arial"/>
          <w:sz w:val="24"/>
          <w:szCs w:val="24"/>
        </w:rPr>
        <w:t xml:space="preserve">really </w:t>
      </w:r>
      <w:r w:rsidR="00CE12A3" w:rsidRPr="00424846">
        <w:rPr>
          <w:rFonts w:ascii="Arial" w:hAnsi="Arial" w:cs="Arial"/>
          <w:sz w:val="24"/>
          <w:szCs w:val="24"/>
        </w:rPr>
        <w:lastRenderedPageBreak/>
        <w:t>is a terrorist</w:t>
      </w:r>
      <w:r w:rsidR="00CE12A3" w:rsidRPr="00424846">
        <w:rPr>
          <w:rStyle w:val="FootnoteReference"/>
          <w:rFonts w:ascii="Arial" w:hAnsi="Arial" w:cs="Arial"/>
          <w:sz w:val="24"/>
          <w:szCs w:val="24"/>
        </w:rPr>
        <w:footnoteReference w:id="108"/>
      </w:r>
      <w:r w:rsidR="00CE12A3" w:rsidRPr="00424846">
        <w:rPr>
          <w:rFonts w:ascii="Arial" w:hAnsi="Arial" w:cs="Arial"/>
          <w:sz w:val="24"/>
          <w:szCs w:val="24"/>
        </w:rPr>
        <w:t>, or whether torture will produce reliable information to stop the impending attack, arguably, rendering it a pointless question.</w:t>
      </w:r>
    </w:p>
    <w:p w14:paraId="75EE9F6B" w14:textId="074899DE" w:rsidR="00821FDF" w:rsidRPr="00424846" w:rsidRDefault="00A834B6" w:rsidP="00862139">
      <w:pPr>
        <w:spacing w:line="480" w:lineRule="auto"/>
        <w:jc w:val="both"/>
        <w:rPr>
          <w:rFonts w:ascii="Arial" w:hAnsi="Arial" w:cs="Arial"/>
          <w:sz w:val="24"/>
          <w:szCs w:val="24"/>
        </w:rPr>
      </w:pPr>
      <w:r w:rsidRPr="00424846">
        <w:rPr>
          <w:rFonts w:ascii="Arial" w:hAnsi="Arial" w:cs="Arial"/>
          <w:sz w:val="24"/>
          <w:szCs w:val="24"/>
        </w:rPr>
        <w:t>Th</w:t>
      </w:r>
      <w:r w:rsidR="000E01EC" w:rsidRPr="00424846">
        <w:rPr>
          <w:rFonts w:ascii="Arial" w:hAnsi="Arial" w:cs="Arial"/>
          <w:sz w:val="24"/>
          <w:szCs w:val="24"/>
        </w:rPr>
        <w:t>e TBS</w:t>
      </w:r>
      <w:r w:rsidRPr="00424846">
        <w:rPr>
          <w:rFonts w:ascii="Arial" w:hAnsi="Arial" w:cs="Arial"/>
          <w:sz w:val="24"/>
          <w:szCs w:val="24"/>
        </w:rPr>
        <w:t xml:space="preserve"> </w:t>
      </w:r>
      <w:r w:rsidR="00782986" w:rsidRPr="00424846">
        <w:rPr>
          <w:rFonts w:ascii="Arial" w:hAnsi="Arial" w:cs="Arial"/>
          <w:sz w:val="24"/>
          <w:szCs w:val="24"/>
        </w:rPr>
        <w:t xml:space="preserve">originates from </w:t>
      </w:r>
      <w:r w:rsidRPr="00424846">
        <w:rPr>
          <w:rFonts w:ascii="Arial" w:hAnsi="Arial" w:cs="Arial"/>
          <w:sz w:val="24"/>
          <w:szCs w:val="24"/>
        </w:rPr>
        <w:t>Bentham’s 1804 essay</w:t>
      </w:r>
      <w:r w:rsidR="00F95AEC" w:rsidRPr="00424846">
        <w:rPr>
          <w:rFonts w:ascii="Arial" w:hAnsi="Arial" w:cs="Arial"/>
          <w:sz w:val="24"/>
          <w:szCs w:val="24"/>
        </w:rPr>
        <w:t xml:space="preserve">, </w:t>
      </w:r>
      <w:r w:rsidR="00B165F2" w:rsidRPr="00424846">
        <w:rPr>
          <w:rFonts w:ascii="Arial" w:hAnsi="Arial" w:cs="Arial"/>
          <w:i/>
          <w:iCs/>
          <w:sz w:val="24"/>
          <w:szCs w:val="24"/>
        </w:rPr>
        <w:t>Means of Extraction for Extraordinary Occasions</w:t>
      </w:r>
      <w:r w:rsidRPr="00424846">
        <w:rPr>
          <w:rFonts w:ascii="Arial" w:hAnsi="Arial" w:cs="Arial"/>
          <w:sz w:val="24"/>
          <w:szCs w:val="24"/>
        </w:rPr>
        <w:t xml:space="preserve">, </w:t>
      </w:r>
      <w:r w:rsidR="00F95AEC" w:rsidRPr="00424846">
        <w:rPr>
          <w:rFonts w:ascii="Arial" w:hAnsi="Arial" w:cs="Arial"/>
          <w:sz w:val="24"/>
          <w:szCs w:val="24"/>
        </w:rPr>
        <w:t xml:space="preserve">where </w:t>
      </w:r>
      <w:r w:rsidR="00B165F2" w:rsidRPr="00424846">
        <w:rPr>
          <w:rFonts w:ascii="Arial" w:hAnsi="Arial" w:cs="Arial"/>
          <w:sz w:val="24"/>
          <w:szCs w:val="24"/>
        </w:rPr>
        <w:t>he argues</w:t>
      </w:r>
      <w:r w:rsidR="00F95AEC" w:rsidRPr="00424846">
        <w:rPr>
          <w:rFonts w:ascii="Arial" w:hAnsi="Arial" w:cs="Arial"/>
          <w:sz w:val="24"/>
          <w:szCs w:val="24"/>
        </w:rPr>
        <w:t xml:space="preserve">, </w:t>
      </w:r>
      <w:r w:rsidR="00B165F2" w:rsidRPr="00424846">
        <w:rPr>
          <w:rFonts w:ascii="Arial" w:hAnsi="Arial" w:cs="Arial"/>
          <w:sz w:val="24"/>
          <w:szCs w:val="24"/>
        </w:rPr>
        <w:t xml:space="preserve">who would refuse to use excessive torture on </w:t>
      </w:r>
      <w:r w:rsidR="00214858" w:rsidRPr="00424846">
        <w:rPr>
          <w:rFonts w:ascii="Arial" w:hAnsi="Arial" w:cs="Arial"/>
          <w:sz w:val="24"/>
          <w:szCs w:val="24"/>
        </w:rPr>
        <w:t xml:space="preserve">an </w:t>
      </w:r>
      <w:r w:rsidR="00B165F2" w:rsidRPr="00424846">
        <w:rPr>
          <w:rFonts w:ascii="Arial" w:hAnsi="Arial" w:cs="Arial"/>
          <w:sz w:val="24"/>
          <w:szCs w:val="24"/>
        </w:rPr>
        <w:t>individual</w:t>
      </w:r>
      <w:r w:rsidR="00F95AEC" w:rsidRPr="00424846">
        <w:rPr>
          <w:rFonts w:ascii="Arial" w:hAnsi="Arial" w:cs="Arial"/>
          <w:sz w:val="24"/>
          <w:szCs w:val="24"/>
        </w:rPr>
        <w:t xml:space="preserve">, </w:t>
      </w:r>
      <w:r w:rsidR="00214858" w:rsidRPr="00424846">
        <w:rPr>
          <w:rFonts w:ascii="Arial" w:hAnsi="Arial" w:cs="Arial"/>
          <w:sz w:val="24"/>
          <w:szCs w:val="24"/>
        </w:rPr>
        <w:t>planning a violent attack that will kill hundreds of innocent people, with the intention of</w:t>
      </w:r>
      <w:r w:rsidR="00B165F2" w:rsidRPr="00424846">
        <w:rPr>
          <w:rFonts w:ascii="Arial" w:hAnsi="Arial" w:cs="Arial"/>
          <w:sz w:val="24"/>
          <w:szCs w:val="24"/>
        </w:rPr>
        <w:t xml:space="preserve"> obtain</w:t>
      </w:r>
      <w:r w:rsidR="00214858" w:rsidRPr="00424846">
        <w:rPr>
          <w:rFonts w:ascii="Arial" w:hAnsi="Arial" w:cs="Arial"/>
          <w:sz w:val="24"/>
          <w:szCs w:val="24"/>
        </w:rPr>
        <w:t>ing</w:t>
      </w:r>
      <w:r w:rsidR="00B165F2" w:rsidRPr="00424846">
        <w:rPr>
          <w:rFonts w:ascii="Arial" w:hAnsi="Arial" w:cs="Arial"/>
          <w:sz w:val="24"/>
          <w:szCs w:val="24"/>
        </w:rPr>
        <w:t xml:space="preserve"> information that, if acted upon, could stop </w:t>
      </w:r>
      <w:r w:rsidR="00214858" w:rsidRPr="00424846">
        <w:rPr>
          <w:rFonts w:ascii="Arial" w:hAnsi="Arial" w:cs="Arial"/>
          <w:sz w:val="24"/>
          <w:szCs w:val="24"/>
        </w:rPr>
        <w:t xml:space="preserve">the mass murder </w:t>
      </w:r>
      <w:r w:rsidR="00F95AEC" w:rsidRPr="00424846">
        <w:rPr>
          <w:rFonts w:ascii="Arial" w:hAnsi="Arial" w:cs="Arial"/>
          <w:sz w:val="24"/>
          <w:szCs w:val="24"/>
        </w:rPr>
        <w:t xml:space="preserve">of </w:t>
      </w:r>
      <w:r w:rsidR="00214858" w:rsidRPr="00424846">
        <w:rPr>
          <w:rFonts w:ascii="Arial" w:hAnsi="Arial" w:cs="Arial"/>
          <w:sz w:val="24"/>
          <w:szCs w:val="24"/>
        </w:rPr>
        <w:t>people?</w:t>
      </w:r>
      <w:r w:rsidR="00214858" w:rsidRPr="00424846">
        <w:rPr>
          <w:rStyle w:val="FootnoteReference"/>
          <w:rFonts w:ascii="Arial" w:hAnsi="Arial" w:cs="Arial"/>
          <w:sz w:val="24"/>
          <w:szCs w:val="24"/>
        </w:rPr>
        <w:footnoteReference w:id="109"/>
      </w:r>
      <w:r w:rsidR="00214858" w:rsidRPr="00424846">
        <w:rPr>
          <w:rFonts w:ascii="Arial" w:hAnsi="Arial" w:cs="Arial"/>
          <w:sz w:val="24"/>
          <w:szCs w:val="24"/>
        </w:rPr>
        <w:t xml:space="preserve">. </w:t>
      </w:r>
      <w:r w:rsidR="00F95AEC" w:rsidRPr="00424846">
        <w:rPr>
          <w:rFonts w:ascii="Arial" w:hAnsi="Arial" w:cs="Arial"/>
          <w:sz w:val="24"/>
          <w:szCs w:val="24"/>
        </w:rPr>
        <w:t xml:space="preserve">Additionally, </w:t>
      </w:r>
      <w:r w:rsidR="00214858" w:rsidRPr="00424846">
        <w:rPr>
          <w:rFonts w:ascii="Arial" w:hAnsi="Arial" w:cs="Arial"/>
          <w:sz w:val="24"/>
          <w:szCs w:val="24"/>
        </w:rPr>
        <w:t>Larteguy referred</w:t>
      </w:r>
      <w:r w:rsidR="00F95AEC" w:rsidRPr="00424846">
        <w:rPr>
          <w:rFonts w:ascii="Arial" w:hAnsi="Arial" w:cs="Arial"/>
          <w:sz w:val="24"/>
          <w:szCs w:val="24"/>
        </w:rPr>
        <w:t xml:space="preserve"> </w:t>
      </w:r>
      <w:r w:rsidR="00214858" w:rsidRPr="00424846">
        <w:rPr>
          <w:rFonts w:ascii="Arial" w:hAnsi="Arial" w:cs="Arial"/>
          <w:sz w:val="24"/>
          <w:szCs w:val="24"/>
        </w:rPr>
        <w:t xml:space="preserve">to this scenario in his book, </w:t>
      </w:r>
      <w:r w:rsidR="00214858" w:rsidRPr="00424846">
        <w:rPr>
          <w:rFonts w:ascii="Arial" w:hAnsi="Arial" w:cs="Arial"/>
          <w:i/>
          <w:iCs/>
          <w:sz w:val="24"/>
          <w:szCs w:val="24"/>
        </w:rPr>
        <w:t>Les Centurions</w:t>
      </w:r>
      <w:r w:rsidR="002111D7" w:rsidRPr="00424846">
        <w:rPr>
          <w:rStyle w:val="FootnoteReference"/>
          <w:rFonts w:ascii="Arial" w:hAnsi="Arial" w:cs="Arial"/>
          <w:i/>
          <w:iCs/>
          <w:sz w:val="24"/>
          <w:szCs w:val="24"/>
        </w:rPr>
        <w:footnoteReference w:id="110"/>
      </w:r>
      <w:r w:rsidR="00214858" w:rsidRPr="00424846">
        <w:rPr>
          <w:rFonts w:ascii="Arial" w:hAnsi="Arial" w:cs="Arial"/>
          <w:sz w:val="24"/>
          <w:szCs w:val="24"/>
        </w:rPr>
        <w:t>, but with the</w:t>
      </w:r>
      <w:r w:rsidR="00F95AEC" w:rsidRPr="00424846">
        <w:rPr>
          <w:rFonts w:ascii="Arial" w:hAnsi="Arial" w:cs="Arial"/>
          <w:sz w:val="24"/>
          <w:szCs w:val="24"/>
        </w:rPr>
        <w:t xml:space="preserve"> following</w:t>
      </w:r>
      <w:r w:rsidR="00214858" w:rsidRPr="00424846">
        <w:rPr>
          <w:rFonts w:ascii="Arial" w:hAnsi="Arial" w:cs="Arial"/>
          <w:sz w:val="24"/>
          <w:szCs w:val="24"/>
        </w:rPr>
        <w:t xml:space="preserve"> conditions</w:t>
      </w:r>
      <w:r w:rsidR="00F95AEC" w:rsidRPr="00424846">
        <w:rPr>
          <w:rFonts w:ascii="Arial" w:hAnsi="Arial" w:cs="Arial"/>
          <w:sz w:val="24"/>
          <w:szCs w:val="24"/>
        </w:rPr>
        <w:t xml:space="preserve">: 1) </w:t>
      </w:r>
      <w:r w:rsidR="00214858" w:rsidRPr="00424846">
        <w:rPr>
          <w:rFonts w:ascii="Arial" w:hAnsi="Arial" w:cs="Arial"/>
          <w:sz w:val="24"/>
          <w:szCs w:val="24"/>
        </w:rPr>
        <w:t xml:space="preserve">the evidence obtained </w:t>
      </w:r>
      <w:r w:rsidR="00F95AEC" w:rsidRPr="00424846">
        <w:rPr>
          <w:rFonts w:ascii="Arial" w:hAnsi="Arial" w:cs="Arial"/>
          <w:sz w:val="24"/>
          <w:szCs w:val="24"/>
        </w:rPr>
        <w:t xml:space="preserve">from torture </w:t>
      </w:r>
      <w:r w:rsidR="00214858" w:rsidRPr="00424846">
        <w:rPr>
          <w:rFonts w:ascii="Arial" w:hAnsi="Arial" w:cs="Arial"/>
          <w:sz w:val="24"/>
          <w:szCs w:val="24"/>
        </w:rPr>
        <w:t xml:space="preserve">would </w:t>
      </w:r>
      <w:r w:rsidR="00E913CF" w:rsidRPr="00424846">
        <w:rPr>
          <w:rFonts w:ascii="Arial" w:hAnsi="Arial" w:cs="Arial"/>
          <w:sz w:val="24"/>
          <w:szCs w:val="24"/>
        </w:rPr>
        <w:t>fulfil</w:t>
      </w:r>
      <w:r w:rsidR="00214858" w:rsidRPr="00424846">
        <w:rPr>
          <w:rFonts w:ascii="Arial" w:hAnsi="Arial" w:cs="Arial"/>
          <w:sz w:val="24"/>
          <w:szCs w:val="24"/>
        </w:rPr>
        <w:t xml:space="preserve"> the</w:t>
      </w:r>
      <w:r w:rsidR="00E913CF" w:rsidRPr="00424846">
        <w:rPr>
          <w:rFonts w:ascii="Arial" w:hAnsi="Arial" w:cs="Arial"/>
          <w:sz w:val="24"/>
          <w:szCs w:val="24"/>
        </w:rPr>
        <w:t xml:space="preserve"> </w:t>
      </w:r>
      <w:r w:rsidR="00214858" w:rsidRPr="00424846">
        <w:rPr>
          <w:rFonts w:ascii="Arial" w:hAnsi="Arial" w:cs="Arial"/>
          <w:sz w:val="24"/>
          <w:szCs w:val="24"/>
        </w:rPr>
        <w:t>conditions for</w:t>
      </w:r>
      <w:r w:rsidR="00E913CF" w:rsidRPr="00424846">
        <w:rPr>
          <w:rFonts w:ascii="Arial" w:hAnsi="Arial" w:cs="Arial"/>
          <w:sz w:val="24"/>
          <w:szCs w:val="24"/>
        </w:rPr>
        <w:t xml:space="preserve"> a conviction, </w:t>
      </w:r>
      <w:r w:rsidR="00F95AEC" w:rsidRPr="00424846">
        <w:rPr>
          <w:rFonts w:ascii="Arial" w:hAnsi="Arial" w:cs="Arial"/>
          <w:sz w:val="24"/>
          <w:szCs w:val="24"/>
        </w:rPr>
        <w:t xml:space="preserve">2) </w:t>
      </w:r>
      <w:r w:rsidR="00E913CF" w:rsidRPr="00424846">
        <w:rPr>
          <w:rFonts w:ascii="Arial" w:hAnsi="Arial" w:cs="Arial"/>
          <w:sz w:val="24"/>
          <w:szCs w:val="24"/>
        </w:rPr>
        <w:t xml:space="preserve">accurate information would be provided if, and only when, </w:t>
      </w:r>
      <w:r w:rsidR="000E67A3" w:rsidRPr="00424846">
        <w:rPr>
          <w:rFonts w:ascii="Arial" w:hAnsi="Arial" w:cs="Arial"/>
          <w:sz w:val="24"/>
          <w:szCs w:val="24"/>
        </w:rPr>
        <w:t>the suspect</w:t>
      </w:r>
      <w:r w:rsidR="00E913CF" w:rsidRPr="00424846">
        <w:rPr>
          <w:rFonts w:ascii="Arial" w:hAnsi="Arial" w:cs="Arial"/>
          <w:sz w:val="24"/>
          <w:szCs w:val="24"/>
        </w:rPr>
        <w:t xml:space="preserve"> is tortured, </w:t>
      </w:r>
      <w:r w:rsidR="000E67A3" w:rsidRPr="00424846">
        <w:rPr>
          <w:rFonts w:ascii="Arial" w:hAnsi="Arial" w:cs="Arial"/>
          <w:sz w:val="24"/>
          <w:szCs w:val="24"/>
        </w:rPr>
        <w:t xml:space="preserve">3) </w:t>
      </w:r>
      <w:r w:rsidR="00E913CF" w:rsidRPr="00424846">
        <w:rPr>
          <w:rFonts w:ascii="Arial" w:hAnsi="Arial" w:cs="Arial"/>
          <w:sz w:val="24"/>
          <w:szCs w:val="24"/>
        </w:rPr>
        <w:t xml:space="preserve">there is a ‘ticking’ </w:t>
      </w:r>
      <w:r w:rsidR="000E01EC" w:rsidRPr="00424846">
        <w:rPr>
          <w:rFonts w:ascii="Arial" w:hAnsi="Arial" w:cs="Arial"/>
          <w:sz w:val="24"/>
          <w:szCs w:val="24"/>
        </w:rPr>
        <w:t>timer</w:t>
      </w:r>
      <w:r w:rsidR="00E913CF" w:rsidRPr="00424846">
        <w:rPr>
          <w:rFonts w:ascii="Arial" w:hAnsi="Arial" w:cs="Arial"/>
          <w:sz w:val="24"/>
          <w:szCs w:val="24"/>
        </w:rPr>
        <w:t xml:space="preserve">, </w:t>
      </w:r>
      <w:r w:rsidR="000E67A3" w:rsidRPr="00424846">
        <w:rPr>
          <w:rFonts w:ascii="Arial" w:hAnsi="Arial" w:cs="Arial"/>
          <w:sz w:val="24"/>
          <w:szCs w:val="24"/>
        </w:rPr>
        <w:t xml:space="preserve">4) </w:t>
      </w:r>
      <w:r w:rsidR="00E913CF" w:rsidRPr="00424846">
        <w:rPr>
          <w:rFonts w:ascii="Arial" w:hAnsi="Arial" w:cs="Arial"/>
          <w:sz w:val="24"/>
          <w:szCs w:val="24"/>
        </w:rPr>
        <w:t>the quantity of people at risk of death</w:t>
      </w:r>
      <w:r w:rsidR="000E67A3" w:rsidRPr="00424846">
        <w:rPr>
          <w:rFonts w:ascii="Arial" w:hAnsi="Arial" w:cs="Arial"/>
          <w:sz w:val="24"/>
          <w:szCs w:val="24"/>
        </w:rPr>
        <w:t xml:space="preserve">, </w:t>
      </w:r>
      <w:r w:rsidR="00E913CF" w:rsidRPr="00424846">
        <w:rPr>
          <w:rFonts w:ascii="Arial" w:hAnsi="Arial" w:cs="Arial"/>
          <w:sz w:val="24"/>
          <w:szCs w:val="24"/>
        </w:rPr>
        <w:t>greatly outweigh</w:t>
      </w:r>
      <w:r w:rsidR="000E67A3" w:rsidRPr="00424846">
        <w:rPr>
          <w:rFonts w:ascii="Arial" w:hAnsi="Arial" w:cs="Arial"/>
          <w:sz w:val="24"/>
          <w:szCs w:val="24"/>
        </w:rPr>
        <w:t>s</w:t>
      </w:r>
      <w:r w:rsidR="00E913CF" w:rsidRPr="00424846">
        <w:rPr>
          <w:rFonts w:ascii="Arial" w:hAnsi="Arial" w:cs="Arial"/>
          <w:sz w:val="24"/>
          <w:szCs w:val="24"/>
        </w:rPr>
        <w:t xml:space="preserve"> the safety of the one </w:t>
      </w:r>
      <w:r w:rsidR="000E67A3" w:rsidRPr="00424846">
        <w:rPr>
          <w:rFonts w:ascii="Arial" w:hAnsi="Arial" w:cs="Arial"/>
          <w:sz w:val="24"/>
          <w:szCs w:val="24"/>
        </w:rPr>
        <w:t>suspect</w:t>
      </w:r>
      <w:r w:rsidR="00E913CF" w:rsidRPr="00424846">
        <w:rPr>
          <w:rFonts w:ascii="Arial" w:hAnsi="Arial" w:cs="Arial"/>
          <w:sz w:val="24"/>
          <w:szCs w:val="24"/>
        </w:rPr>
        <w:t xml:space="preserve"> being tortured, and </w:t>
      </w:r>
      <w:r w:rsidR="000E67A3" w:rsidRPr="00424846">
        <w:rPr>
          <w:rFonts w:ascii="Arial" w:hAnsi="Arial" w:cs="Arial"/>
          <w:sz w:val="24"/>
          <w:szCs w:val="24"/>
        </w:rPr>
        <w:t xml:space="preserve">5) </w:t>
      </w:r>
      <w:r w:rsidR="00E913CF" w:rsidRPr="00424846">
        <w:rPr>
          <w:rFonts w:ascii="Arial" w:hAnsi="Arial" w:cs="Arial"/>
          <w:sz w:val="24"/>
          <w:szCs w:val="24"/>
        </w:rPr>
        <w:t xml:space="preserve">the torture is qualitatively less worse than the </w:t>
      </w:r>
      <w:r w:rsidR="004B65BC" w:rsidRPr="00424846">
        <w:rPr>
          <w:rFonts w:ascii="Arial" w:hAnsi="Arial" w:cs="Arial"/>
          <w:sz w:val="24"/>
          <w:szCs w:val="24"/>
        </w:rPr>
        <w:t>damage incurred by the bomb. Based on this, legal philosophers, Lawyers and Judges a</w:t>
      </w:r>
      <w:r w:rsidR="004829F7" w:rsidRPr="00424846">
        <w:rPr>
          <w:rFonts w:ascii="Arial" w:hAnsi="Arial" w:cs="Arial"/>
          <w:sz w:val="24"/>
          <w:szCs w:val="24"/>
        </w:rPr>
        <w:t>nd</w:t>
      </w:r>
      <w:r w:rsidR="004B65BC" w:rsidRPr="00424846">
        <w:rPr>
          <w:rFonts w:ascii="Arial" w:hAnsi="Arial" w:cs="Arial"/>
          <w:sz w:val="24"/>
          <w:szCs w:val="24"/>
        </w:rPr>
        <w:t xml:space="preserve"> academics, like Allison, Walzer and Posner use </w:t>
      </w:r>
      <w:r w:rsidR="004829F7" w:rsidRPr="00424846">
        <w:rPr>
          <w:rFonts w:ascii="Arial" w:hAnsi="Arial" w:cs="Arial"/>
          <w:sz w:val="24"/>
          <w:szCs w:val="24"/>
        </w:rPr>
        <w:t>a</w:t>
      </w:r>
      <w:r w:rsidR="004B65BC" w:rsidRPr="00424846">
        <w:rPr>
          <w:rFonts w:ascii="Arial" w:hAnsi="Arial" w:cs="Arial"/>
          <w:sz w:val="24"/>
          <w:szCs w:val="24"/>
        </w:rPr>
        <w:t xml:space="preserve"> utilitarian </w:t>
      </w:r>
      <w:r w:rsidR="000E01EC" w:rsidRPr="00424846">
        <w:rPr>
          <w:rFonts w:ascii="Arial" w:hAnsi="Arial" w:cs="Arial"/>
          <w:sz w:val="24"/>
          <w:szCs w:val="24"/>
        </w:rPr>
        <w:t>perspective</w:t>
      </w:r>
      <w:r w:rsidR="00862732" w:rsidRPr="00424846">
        <w:rPr>
          <w:rStyle w:val="FootnoteReference"/>
          <w:rFonts w:ascii="Arial" w:hAnsi="Arial" w:cs="Arial"/>
          <w:sz w:val="24"/>
          <w:szCs w:val="24"/>
        </w:rPr>
        <w:footnoteReference w:id="111"/>
      </w:r>
      <w:r w:rsidR="007D501E" w:rsidRPr="00424846">
        <w:rPr>
          <w:rFonts w:ascii="Arial" w:hAnsi="Arial" w:cs="Arial"/>
          <w:sz w:val="24"/>
          <w:szCs w:val="24"/>
        </w:rPr>
        <w:t xml:space="preserve"> </w:t>
      </w:r>
      <w:r w:rsidR="004B65BC" w:rsidRPr="00424846">
        <w:rPr>
          <w:rFonts w:ascii="Arial" w:hAnsi="Arial" w:cs="Arial"/>
          <w:sz w:val="24"/>
          <w:szCs w:val="24"/>
        </w:rPr>
        <w:t>to support the use of torture in TBS</w:t>
      </w:r>
      <w:r w:rsidR="004829F7" w:rsidRPr="00424846">
        <w:rPr>
          <w:rFonts w:ascii="Arial" w:hAnsi="Arial" w:cs="Arial"/>
          <w:sz w:val="24"/>
          <w:szCs w:val="24"/>
        </w:rPr>
        <w:t>’s</w:t>
      </w:r>
      <w:r w:rsidR="007D501E" w:rsidRPr="00424846">
        <w:rPr>
          <w:rStyle w:val="FootnoteReference"/>
          <w:rFonts w:ascii="Arial" w:hAnsi="Arial" w:cs="Arial"/>
          <w:sz w:val="24"/>
          <w:szCs w:val="24"/>
        </w:rPr>
        <w:footnoteReference w:id="112"/>
      </w:r>
      <w:r w:rsidR="00356ADE" w:rsidRPr="00424846">
        <w:rPr>
          <w:rFonts w:ascii="Arial" w:hAnsi="Arial" w:cs="Arial"/>
          <w:sz w:val="24"/>
          <w:szCs w:val="24"/>
        </w:rPr>
        <w:t>.</w:t>
      </w:r>
      <w:r w:rsidR="004B65BC" w:rsidRPr="00424846">
        <w:rPr>
          <w:rFonts w:ascii="Arial" w:hAnsi="Arial" w:cs="Arial"/>
          <w:sz w:val="24"/>
          <w:szCs w:val="24"/>
        </w:rPr>
        <w:t xml:space="preserve"> </w:t>
      </w:r>
      <w:r w:rsidR="004829F7" w:rsidRPr="00424846">
        <w:rPr>
          <w:rFonts w:ascii="Arial" w:hAnsi="Arial" w:cs="Arial"/>
          <w:sz w:val="24"/>
          <w:szCs w:val="24"/>
        </w:rPr>
        <w:t>A</w:t>
      </w:r>
      <w:r w:rsidR="004B65BC" w:rsidRPr="00424846">
        <w:rPr>
          <w:rFonts w:ascii="Arial" w:hAnsi="Arial" w:cs="Arial"/>
          <w:sz w:val="24"/>
          <w:szCs w:val="24"/>
        </w:rPr>
        <w:t>s</w:t>
      </w:r>
      <w:r w:rsidR="00115C43" w:rsidRPr="00424846">
        <w:rPr>
          <w:rFonts w:ascii="Arial" w:hAnsi="Arial" w:cs="Arial"/>
          <w:sz w:val="24"/>
          <w:szCs w:val="24"/>
        </w:rPr>
        <w:t xml:space="preserve">, </w:t>
      </w:r>
      <w:r w:rsidR="004829F7" w:rsidRPr="00424846">
        <w:rPr>
          <w:rFonts w:ascii="Arial" w:hAnsi="Arial" w:cs="Arial"/>
          <w:sz w:val="24"/>
          <w:szCs w:val="24"/>
        </w:rPr>
        <w:t>Walzer states</w:t>
      </w:r>
      <w:r w:rsidR="004B65BC" w:rsidRPr="00424846">
        <w:rPr>
          <w:rFonts w:ascii="Arial" w:hAnsi="Arial" w:cs="Arial"/>
          <w:sz w:val="24"/>
          <w:szCs w:val="24"/>
        </w:rPr>
        <w:t xml:space="preserve"> that ‘even a good man’ must use torture, against his own beliefs, if that is what must be done to prevent the life-ending explosion</w:t>
      </w:r>
      <w:r w:rsidR="00036A7E" w:rsidRPr="00424846">
        <w:rPr>
          <w:rFonts w:ascii="Arial" w:hAnsi="Arial" w:cs="Arial"/>
          <w:sz w:val="24"/>
          <w:szCs w:val="24"/>
        </w:rPr>
        <w:t xml:space="preserve">. </w:t>
      </w:r>
    </w:p>
    <w:p w14:paraId="44A879E1" w14:textId="6A2606BD" w:rsidR="00821FDF" w:rsidRPr="00424846" w:rsidRDefault="00821FDF" w:rsidP="00862139">
      <w:pPr>
        <w:spacing w:line="480" w:lineRule="auto"/>
        <w:jc w:val="both"/>
        <w:rPr>
          <w:rFonts w:ascii="Arial" w:hAnsi="Arial" w:cs="Arial"/>
          <w:sz w:val="24"/>
          <w:szCs w:val="24"/>
        </w:rPr>
      </w:pPr>
      <w:r w:rsidRPr="00424846">
        <w:rPr>
          <w:rFonts w:ascii="Arial" w:hAnsi="Arial" w:cs="Arial"/>
          <w:sz w:val="24"/>
          <w:szCs w:val="24"/>
        </w:rPr>
        <w:t>This goes further with</w:t>
      </w:r>
      <w:r w:rsidR="000E01EC" w:rsidRPr="00424846">
        <w:rPr>
          <w:rFonts w:ascii="Arial" w:hAnsi="Arial" w:cs="Arial"/>
          <w:sz w:val="24"/>
          <w:szCs w:val="24"/>
        </w:rPr>
        <w:t xml:space="preserve"> </w:t>
      </w:r>
      <w:r w:rsidR="002E6CBC" w:rsidRPr="00424846">
        <w:rPr>
          <w:rFonts w:ascii="Arial" w:hAnsi="Arial" w:cs="Arial"/>
          <w:sz w:val="24"/>
          <w:szCs w:val="24"/>
        </w:rPr>
        <w:t>Lincoln</w:t>
      </w:r>
      <w:r w:rsidR="000E01EC" w:rsidRPr="00424846">
        <w:rPr>
          <w:rFonts w:ascii="Arial" w:hAnsi="Arial" w:cs="Arial"/>
          <w:sz w:val="24"/>
          <w:szCs w:val="24"/>
        </w:rPr>
        <w:t xml:space="preserve">, as he </w:t>
      </w:r>
      <w:r w:rsidR="00036A7E" w:rsidRPr="00424846">
        <w:rPr>
          <w:rFonts w:ascii="Arial" w:hAnsi="Arial" w:cs="Arial"/>
          <w:sz w:val="24"/>
          <w:szCs w:val="24"/>
        </w:rPr>
        <w:t>argues that</w:t>
      </w:r>
      <w:r w:rsidR="002E6CBC" w:rsidRPr="00424846">
        <w:rPr>
          <w:rFonts w:ascii="Arial" w:hAnsi="Arial" w:cs="Arial"/>
          <w:sz w:val="24"/>
          <w:szCs w:val="24"/>
        </w:rPr>
        <w:t xml:space="preserve"> the politician who refuses to use torture for the benefit of the majority, </w:t>
      </w:r>
      <w:r w:rsidR="00115C43" w:rsidRPr="00424846">
        <w:rPr>
          <w:rFonts w:ascii="Arial" w:hAnsi="Arial" w:cs="Arial"/>
          <w:sz w:val="24"/>
          <w:szCs w:val="24"/>
        </w:rPr>
        <w:t>is</w:t>
      </w:r>
      <w:r w:rsidR="002E6CBC" w:rsidRPr="00424846">
        <w:rPr>
          <w:rFonts w:ascii="Arial" w:hAnsi="Arial" w:cs="Arial"/>
          <w:sz w:val="24"/>
          <w:szCs w:val="24"/>
        </w:rPr>
        <w:t xml:space="preserve"> worthless</w:t>
      </w:r>
      <w:r w:rsidR="002437FF" w:rsidRPr="00424846">
        <w:rPr>
          <w:rStyle w:val="FootnoteReference"/>
          <w:rFonts w:ascii="Arial" w:hAnsi="Arial" w:cs="Arial"/>
          <w:sz w:val="24"/>
          <w:szCs w:val="24"/>
        </w:rPr>
        <w:footnoteReference w:id="113"/>
      </w:r>
      <w:r w:rsidR="002E6CBC" w:rsidRPr="00424846">
        <w:rPr>
          <w:rFonts w:ascii="Arial" w:hAnsi="Arial" w:cs="Arial"/>
          <w:sz w:val="24"/>
          <w:szCs w:val="24"/>
        </w:rPr>
        <w:t>, or Posner who argued in</w:t>
      </w:r>
      <w:r w:rsidR="00B463E2" w:rsidRPr="00424846">
        <w:rPr>
          <w:rFonts w:ascii="Arial" w:hAnsi="Arial" w:cs="Arial"/>
          <w:sz w:val="24"/>
          <w:szCs w:val="24"/>
        </w:rPr>
        <w:t xml:space="preserve">, </w:t>
      </w:r>
      <w:r w:rsidR="002E6CBC" w:rsidRPr="00424846">
        <w:rPr>
          <w:rFonts w:ascii="Arial" w:hAnsi="Arial" w:cs="Arial"/>
          <w:i/>
          <w:iCs/>
          <w:sz w:val="24"/>
          <w:szCs w:val="24"/>
        </w:rPr>
        <w:t>The New Republic</w:t>
      </w:r>
      <w:r w:rsidR="002437FF" w:rsidRPr="00424846">
        <w:rPr>
          <w:rStyle w:val="FootnoteReference"/>
          <w:rFonts w:ascii="Arial" w:hAnsi="Arial" w:cs="Arial"/>
          <w:i/>
          <w:iCs/>
          <w:sz w:val="24"/>
          <w:szCs w:val="24"/>
        </w:rPr>
        <w:footnoteReference w:id="114"/>
      </w:r>
      <w:r w:rsidR="002E6CBC" w:rsidRPr="00424846">
        <w:rPr>
          <w:rFonts w:ascii="Arial" w:hAnsi="Arial" w:cs="Arial"/>
          <w:sz w:val="24"/>
          <w:szCs w:val="24"/>
        </w:rPr>
        <w:t>, that if torture is the only means by which information</w:t>
      </w:r>
      <w:r w:rsidR="00115C43" w:rsidRPr="00424846">
        <w:rPr>
          <w:rFonts w:ascii="Arial" w:hAnsi="Arial" w:cs="Arial"/>
          <w:sz w:val="24"/>
          <w:szCs w:val="24"/>
        </w:rPr>
        <w:t xml:space="preserve">, </w:t>
      </w:r>
      <w:r w:rsidR="002E6CBC" w:rsidRPr="00424846">
        <w:rPr>
          <w:rFonts w:ascii="Arial" w:hAnsi="Arial" w:cs="Arial"/>
          <w:sz w:val="24"/>
          <w:szCs w:val="24"/>
        </w:rPr>
        <w:t>that would save the lives of hundreds</w:t>
      </w:r>
      <w:r w:rsidR="00115C43" w:rsidRPr="00424846">
        <w:rPr>
          <w:rFonts w:ascii="Arial" w:hAnsi="Arial" w:cs="Arial"/>
          <w:sz w:val="24"/>
          <w:szCs w:val="24"/>
        </w:rPr>
        <w:t xml:space="preserve">, </w:t>
      </w:r>
      <w:r w:rsidR="002E6CBC" w:rsidRPr="00424846">
        <w:rPr>
          <w:rFonts w:ascii="Arial" w:hAnsi="Arial" w:cs="Arial"/>
          <w:sz w:val="24"/>
          <w:szCs w:val="24"/>
        </w:rPr>
        <w:t xml:space="preserve">could be obtained, then ‘torture should and will be used….No </w:t>
      </w:r>
      <w:r w:rsidR="002E6CBC" w:rsidRPr="00424846">
        <w:rPr>
          <w:rFonts w:ascii="Arial" w:hAnsi="Arial" w:cs="Arial"/>
          <w:sz w:val="24"/>
          <w:szCs w:val="24"/>
        </w:rPr>
        <w:lastRenderedPageBreak/>
        <w:t>one</w:t>
      </w:r>
      <w:r w:rsidR="00B73A22" w:rsidRPr="00424846">
        <w:rPr>
          <w:rFonts w:ascii="Arial" w:hAnsi="Arial" w:cs="Arial"/>
          <w:sz w:val="24"/>
          <w:szCs w:val="24"/>
        </w:rPr>
        <w:t xml:space="preserve"> </w:t>
      </w:r>
      <w:r w:rsidR="002E6CBC" w:rsidRPr="00424846">
        <w:rPr>
          <w:rFonts w:ascii="Arial" w:hAnsi="Arial" w:cs="Arial"/>
          <w:sz w:val="24"/>
          <w:szCs w:val="24"/>
        </w:rPr>
        <w:t xml:space="preserve">who doubts </w:t>
      </w:r>
      <w:r w:rsidR="001113B9" w:rsidRPr="00424846">
        <w:rPr>
          <w:rFonts w:ascii="Arial" w:hAnsi="Arial" w:cs="Arial"/>
          <w:sz w:val="24"/>
          <w:szCs w:val="24"/>
        </w:rPr>
        <w:t xml:space="preserve">[the necessity of torture] </w:t>
      </w:r>
      <w:r w:rsidR="002E6CBC" w:rsidRPr="00424846">
        <w:rPr>
          <w:rFonts w:ascii="Arial" w:hAnsi="Arial" w:cs="Arial"/>
          <w:sz w:val="24"/>
          <w:szCs w:val="24"/>
        </w:rPr>
        <w:t>should be in a position of responsibility’</w:t>
      </w:r>
      <w:r w:rsidR="002E6CBC" w:rsidRPr="00424846">
        <w:rPr>
          <w:rStyle w:val="FootnoteReference"/>
          <w:rFonts w:ascii="Arial" w:hAnsi="Arial" w:cs="Arial"/>
          <w:sz w:val="24"/>
          <w:szCs w:val="24"/>
        </w:rPr>
        <w:footnoteReference w:id="115"/>
      </w:r>
      <w:r w:rsidR="002E6CBC" w:rsidRPr="00424846">
        <w:rPr>
          <w:rFonts w:ascii="Arial" w:hAnsi="Arial" w:cs="Arial"/>
          <w:sz w:val="24"/>
          <w:szCs w:val="24"/>
        </w:rPr>
        <w:t xml:space="preserve">. </w:t>
      </w:r>
      <w:r w:rsidR="00B65DAE" w:rsidRPr="00424846">
        <w:rPr>
          <w:rFonts w:ascii="Arial" w:hAnsi="Arial" w:cs="Arial"/>
          <w:sz w:val="24"/>
          <w:szCs w:val="24"/>
        </w:rPr>
        <w:t>I</w:t>
      </w:r>
      <w:r w:rsidR="00A73F0D" w:rsidRPr="00424846">
        <w:rPr>
          <w:rFonts w:ascii="Arial" w:hAnsi="Arial" w:cs="Arial"/>
          <w:sz w:val="24"/>
          <w:szCs w:val="24"/>
        </w:rPr>
        <w:t>ndicat</w:t>
      </w:r>
      <w:r w:rsidR="00B65DAE" w:rsidRPr="00424846">
        <w:rPr>
          <w:rFonts w:ascii="Arial" w:hAnsi="Arial" w:cs="Arial"/>
          <w:sz w:val="24"/>
          <w:szCs w:val="24"/>
        </w:rPr>
        <w:t>ing a</w:t>
      </w:r>
      <w:r w:rsidR="00782BE3" w:rsidRPr="00424846">
        <w:rPr>
          <w:rFonts w:ascii="Arial" w:hAnsi="Arial" w:cs="Arial"/>
          <w:sz w:val="24"/>
          <w:szCs w:val="24"/>
        </w:rPr>
        <w:t xml:space="preserve"> massive support from legal practitioners and academics</w:t>
      </w:r>
      <w:r w:rsidR="001113B9" w:rsidRPr="00424846">
        <w:rPr>
          <w:rFonts w:ascii="Arial" w:hAnsi="Arial" w:cs="Arial"/>
          <w:sz w:val="24"/>
          <w:szCs w:val="24"/>
        </w:rPr>
        <w:t xml:space="preserve">, </w:t>
      </w:r>
      <w:r w:rsidR="00B73A22" w:rsidRPr="00424846">
        <w:rPr>
          <w:rFonts w:ascii="Arial" w:hAnsi="Arial" w:cs="Arial"/>
          <w:sz w:val="24"/>
          <w:szCs w:val="24"/>
        </w:rPr>
        <w:t xml:space="preserve">in favour of </w:t>
      </w:r>
      <w:r w:rsidR="00782BE3" w:rsidRPr="00424846">
        <w:rPr>
          <w:rFonts w:ascii="Arial" w:hAnsi="Arial" w:cs="Arial"/>
          <w:sz w:val="24"/>
          <w:szCs w:val="24"/>
        </w:rPr>
        <w:t>torture</w:t>
      </w:r>
      <w:r w:rsidR="001113B9" w:rsidRPr="00424846">
        <w:rPr>
          <w:rFonts w:ascii="Arial" w:hAnsi="Arial" w:cs="Arial"/>
          <w:sz w:val="24"/>
          <w:szCs w:val="24"/>
        </w:rPr>
        <w:t xml:space="preserve"> from the utilitarian perspective</w:t>
      </w:r>
      <w:r w:rsidR="009F1A01" w:rsidRPr="00424846">
        <w:rPr>
          <w:rFonts w:ascii="Arial" w:hAnsi="Arial" w:cs="Arial"/>
          <w:sz w:val="24"/>
          <w:szCs w:val="24"/>
        </w:rPr>
        <w:t>,</w:t>
      </w:r>
      <w:r w:rsidR="00115C43" w:rsidRPr="00424846">
        <w:rPr>
          <w:rFonts w:ascii="Arial" w:hAnsi="Arial" w:cs="Arial"/>
          <w:sz w:val="24"/>
          <w:szCs w:val="24"/>
        </w:rPr>
        <w:t xml:space="preserve"> </w:t>
      </w:r>
      <w:r w:rsidR="009F1A01" w:rsidRPr="00424846">
        <w:rPr>
          <w:rFonts w:ascii="Arial" w:hAnsi="Arial" w:cs="Arial"/>
          <w:sz w:val="24"/>
          <w:szCs w:val="24"/>
        </w:rPr>
        <w:t xml:space="preserve">even if </w:t>
      </w:r>
      <w:r w:rsidR="00B73A22" w:rsidRPr="00424846">
        <w:rPr>
          <w:rFonts w:ascii="Arial" w:hAnsi="Arial" w:cs="Arial"/>
          <w:sz w:val="24"/>
          <w:szCs w:val="24"/>
        </w:rPr>
        <w:t xml:space="preserve">it </w:t>
      </w:r>
      <w:r w:rsidR="00115C43" w:rsidRPr="00424846">
        <w:rPr>
          <w:rFonts w:ascii="Arial" w:hAnsi="Arial" w:cs="Arial"/>
          <w:sz w:val="24"/>
          <w:szCs w:val="24"/>
        </w:rPr>
        <w:t xml:space="preserve">is </w:t>
      </w:r>
      <w:r w:rsidR="009F1A01" w:rsidRPr="00424846">
        <w:rPr>
          <w:rFonts w:ascii="Arial" w:hAnsi="Arial" w:cs="Arial"/>
          <w:sz w:val="24"/>
          <w:szCs w:val="24"/>
        </w:rPr>
        <w:t>disproportionately extreme,</w:t>
      </w:r>
      <w:r w:rsidR="00B15494" w:rsidRPr="00424846">
        <w:rPr>
          <w:rFonts w:ascii="Arial" w:hAnsi="Arial" w:cs="Arial"/>
          <w:sz w:val="24"/>
          <w:szCs w:val="24"/>
        </w:rPr>
        <w:t xml:space="preserve"> </w:t>
      </w:r>
      <w:r w:rsidR="00B65DAE" w:rsidRPr="00424846">
        <w:rPr>
          <w:rFonts w:ascii="Arial" w:hAnsi="Arial" w:cs="Arial"/>
          <w:sz w:val="24"/>
          <w:szCs w:val="24"/>
        </w:rPr>
        <w:t xml:space="preserve">just </w:t>
      </w:r>
      <w:proofErr w:type="gramStart"/>
      <w:r w:rsidR="00B65DAE" w:rsidRPr="00424846">
        <w:rPr>
          <w:rFonts w:ascii="Arial" w:hAnsi="Arial" w:cs="Arial"/>
          <w:sz w:val="24"/>
          <w:szCs w:val="24"/>
        </w:rPr>
        <w:t>as long as</w:t>
      </w:r>
      <w:proofErr w:type="gramEnd"/>
      <w:r w:rsidR="00B65DAE" w:rsidRPr="00424846">
        <w:rPr>
          <w:rFonts w:ascii="Arial" w:hAnsi="Arial" w:cs="Arial"/>
          <w:sz w:val="24"/>
          <w:szCs w:val="24"/>
        </w:rPr>
        <w:t xml:space="preserve"> </w:t>
      </w:r>
      <w:r w:rsidR="00A73F0D" w:rsidRPr="00424846">
        <w:rPr>
          <w:rFonts w:ascii="Arial" w:hAnsi="Arial" w:cs="Arial"/>
          <w:sz w:val="24"/>
          <w:szCs w:val="24"/>
        </w:rPr>
        <w:t xml:space="preserve">the outcome </w:t>
      </w:r>
      <w:r w:rsidR="00B65DAE" w:rsidRPr="00424846">
        <w:rPr>
          <w:rFonts w:ascii="Arial" w:hAnsi="Arial" w:cs="Arial"/>
          <w:sz w:val="24"/>
          <w:szCs w:val="24"/>
        </w:rPr>
        <w:t xml:space="preserve">(of saving lives) </w:t>
      </w:r>
      <w:r w:rsidR="00A73F0D" w:rsidRPr="00424846">
        <w:rPr>
          <w:rFonts w:ascii="Arial" w:hAnsi="Arial" w:cs="Arial"/>
          <w:sz w:val="24"/>
          <w:szCs w:val="24"/>
        </w:rPr>
        <w:t>can be achieved. T</w:t>
      </w:r>
      <w:r w:rsidR="00115C43" w:rsidRPr="00424846">
        <w:rPr>
          <w:rFonts w:ascii="Arial" w:hAnsi="Arial" w:cs="Arial"/>
          <w:sz w:val="24"/>
          <w:szCs w:val="24"/>
        </w:rPr>
        <w:t>aking on a</w:t>
      </w:r>
      <w:r w:rsidR="00A73F0D" w:rsidRPr="00424846">
        <w:rPr>
          <w:rFonts w:ascii="Arial" w:hAnsi="Arial" w:cs="Arial"/>
          <w:sz w:val="24"/>
          <w:szCs w:val="24"/>
        </w:rPr>
        <w:t xml:space="preserve"> ‘Machiavellian’ approach to the </w:t>
      </w:r>
      <w:r w:rsidR="00B15494" w:rsidRPr="00424846">
        <w:rPr>
          <w:rFonts w:ascii="Arial" w:hAnsi="Arial" w:cs="Arial"/>
          <w:sz w:val="24"/>
          <w:szCs w:val="24"/>
        </w:rPr>
        <w:t>state’s</w:t>
      </w:r>
      <w:r w:rsidR="00A73F0D" w:rsidRPr="00424846">
        <w:rPr>
          <w:rFonts w:ascii="Arial" w:hAnsi="Arial" w:cs="Arial"/>
          <w:sz w:val="24"/>
          <w:szCs w:val="24"/>
        </w:rPr>
        <w:t xml:space="preserve"> responsibility of protection, implying that i</w:t>
      </w:r>
      <w:r w:rsidR="00C03108" w:rsidRPr="00424846">
        <w:rPr>
          <w:rFonts w:ascii="Arial" w:hAnsi="Arial" w:cs="Arial"/>
          <w:sz w:val="24"/>
          <w:szCs w:val="24"/>
        </w:rPr>
        <w:t>t is not only acceptable</w:t>
      </w:r>
      <w:r w:rsidR="00115C43" w:rsidRPr="00424846">
        <w:rPr>
          <w:rFonts w:ascii="Arial" w:hAnsi="Arial" w:cs="Arial"/>
          <w:sz w:val="24"/>
          <w:szCs w:val="24"/>
        </w:rPr>
        <w:t xml:space="preserve">, </w:t>
      </w:r>
      <w:r w:rsidR="00C03108" w:rsidRPr="00424846">
        <w:rPr>
          <w:rFonts w:ascii="Arial" w:hAnsi="Arial" w:cs="Arial"/>
          <w:sz w:val="24"/>
          <w:szCs w:val="24"/>
        </w:rPr>
        <w:t xml:space="preserve">but </w:t>
      </w:r>
      <w:r w:rsidR="00B73A22" w:rsidRPr="00424846">
        <w:rPr>
          <w:rFonts w:ascii="Arial" w:hAnsi="Arial" w:cs="Arial"/>
          <w:sz w:val="24"/>
          <w:szCs w:val="24"/>
        </w:rPr>
        <w:t>necessary</w:t>
      </w:r>
      <w:r w:rsidR="00A73F0D" w:rsidRPr="00424846">
        <w:rPr>
          <w:rFonts w:ascii="Arial" w:hAnsi="Arial" w:cs="Arial"/>
          <w:sz w:val="24"/>
          <w:szCs w:val="24"/>
        </w:rPr>
        <w:t xml:space="preserve"> </w:t>
      </w:r>
      <w:r w:rsidR="00B65DAE" w:rsidRPr="00424846">
        <w:rPr>
          <w:rFonts w:ascii="Arial" w:hAnsi="Arial" w:cs="Arial"/>
          <w:sz w:val="24"/>
          <w:szCs w:val="24"/>
        </w:rPr>
        <w:t xml:space="preserve">for the state </w:t>
      </w:r>
      <w:r w:rsidR="00C03108" w:rsidRPr="00424846">
        <w:rPr>
          <w:rFonts w:ascii="Arial" w:hAnsi="Arial" w:cs="Arial"/>
          <w:sz w:val="24"/>
          <w:szCs w:val="24"/>
        </w:rPr>
        <w:t xml:space="preserve">to </w:t>
      </w:r>
      <w:r w:rsidR="00A73F0D" w:rsidRPr="00424846">
        <w:rPr>
          <w:rFonts w:ascii="Arial" w:hAnsi="Arial" w:cs="Arial"/>
          <w:sz w:val="24"/>
          <w:szCs w:val="24"/>
        </w:rPr>
        <w:t>adopt an immoral</w:t>
      </w:r>
      <w:r w:rsidR="00C03108" w:rsidRPr="00424846">
        <w:rPr>
          <w:rFonts w:ascii="Arial" w:hAnsi="Arial" w:cs="Arial"/>
          <w:sz w:val="24"/>
          <w:szCs w:val="24"/>
        </w:rPr>
        <w:t xml:space="preserve"> </w:t>
      </w:r>
      <w:r w:rsidR="00115C43" w:rsidRPr="00424846">
        <w:rPr>
          <w:rFonts w:ascii="Arial" w:hAnsi="Arial" w:cs="Arial"/>
          <w:sz w:val="24"/>
          <w:szCs w:val="24"/>
        </w:rPr>
        <w:t xml:space="preserve">solution </w:t>
      </w:r>
      <w:r w:rsidR="00A73F0D" w:rsidRPr="00424846">
        <w:rPr>
          <w:rFonts w:ascii="Arial" w:hAnsi="Arial" w:cs="Arial"/>
          <w:sz w:val="24"/>
          <w:szCs w:val="24"/>
        </w:rPr>
        <w:t>to</w:t>
      </w:r>
      <w:r w:rsidR="00115C43" w:rsidRPr="00424846">
        <w:rPr>
          <w:rFonts w:ascii="Arial" w:hAnsi="Arial" w:cs="Arial"/>
          <w:sz w:val="24"/>
          <w:szCs w:val="24"/>
        </w:rPr>
        <w:t xml:space="preserve"> the</w:t>
      </w:r>
      <w:r w:rsidR="00A73F0D" w:rsidRPr="00424846">
        <w:rPr>
          <w:rFonts w:ascii="Arial" w:hAnsi="Arial" w:cs="Arial"/>
          <w:sz w:val="24"/>
          <w:szCs w:val="24"/>
        </w:rPr>
        <w:t xml:space="preserve"> TBS</w:t>
      </w:r>
      <w:r w:rsidR="00115C43" w:rsidRPr="00424846">
        <w:rPr>
          <w:rFonts w:ascii="Arial" w:hAnsi="Arial" w:cs="Arial"/>
          <w:sz w:val="24"/>
          <w:szCs w:val="24"/>
        </w:rPr>
        <w:t xml:space="preserve">, </w:t>
      </w:r>
      <w:r w:rsidR="00A73F0D" w:rsidRPr="00424846">
        <w:rPr>
          <w:rFonts w:ascii="Arial" w:hAnsi="Arial" w:cs="Arial"/>
          <w:sz w:val="24"/>
          <w:szCs w:val="24"/>
        </w:rPr>
        <w:t xml:space="preserve">to maintain and protect </w:t>
      </w:r>
      <w:r w:rsidR="00C03108" w:rsidRPr="00424846">
        <w:rPr>
          <w:rFonts w:ascii="Arial" w:hAnsi="Arial" w:cs="Arial"/>
          <w:sz w:val="24"/>
          <w:szCs w:val="24"/>
        </w:rPr>
        <w:t>individual</w:t>
      </w:r>
      <w:r w:rsidR="00115C43" w:rsidRPr="00424846">
        <w:rPr>
          <w:rFonts w:ascii="Arial" w:hAnsi="Arial" w:cs="Arial"/>
          <w:sz w:val="24"/>
          <w:szCs w:val="24"/>
        </w:rPr>
        <w:t>’</w:t>
      </w:r>
      <w:r w:rsidR="00C03108" w:rsidRPr="00424846">
        <w:rPr>
          <w:rFonts w:ascii="Arial" w:hAnsi="Arial" w:cs="Arial"/>
          <w:sz w:val="24"/>
          <w:szCs w:val="24"/>
        </w:rPr>
        <w:t xml:space="preserve">s </w:t>
      </w:r>
      <w:r w:rsidRPr="00424846">
        <w:rPr>
          <w:rFonts w:ascii="Arial" w:hAnsi="Arial" w:cs="Arial"/>
          <w:sz w:val="24"/>
          <w:szCs w:val="24"/>
        </w:rPr>
        <w:t>li</w:t>
      </w:r>
      <w:r w:rsidR="00115C43" w:rsidRPr="00424846">
        <w:rPr>
          <w:rFonts w:ascii="Arial" w:hAnsi="Arial" w:cs="Arial"/>
          <w:sz w:val="24"/>
          <w:szCs w:val="24"/>
        </w:rPr>
        <w:t>ves</w:t>
      </w:r>
      <w:r w:rsidR="00862732" w:rsidRPr="00424846">
        <w:rPr>
          <w:rStyle w:val="FootnoteReference"/>
          <w:rFonts w:ascii="Arial" w:hAnsi="Arial" w:cs="Arial"/>
          <w:sz w:val="24"/>
          <w:szCs w:val="24"/>
        </w:rPr>
        <w:footnoteReference w:id="116"/>
      </w:r>
      <w:r w:rsidR="00115C43" w:rsidRPr="00424846">
        <w:rPr>
          <w:rFonts w:ascii="Arial" w:hAnsi="Arial" w:cs="Arial"/>
          <w:sz w:val="24"/>
          <w:szCs w:val="24"/>
        </w:rPr>
        <w:t xml:space="preserve">. </w:t>
      </w:r>
    </w:p>
    <w:p w14:paraId="585935F7" w14:textId="25B05EC1" w:rsidR="007D498E" w:rsidRPr="00424846" w:rsidRDefault="00B73A22" w:rsidP="00862139">
      <w:pPr>
        <w:spacing w:line="480" w:lineRule="auto"/>
        <w:jc w:val="both"/>
        <w:rPr>
          <w:rFonts w:ascii="Arial" w:hAnsi="Arial" w:cs="Arial"/>
          <w:sz w:val="24"/>
          <w:szCs w:val="24"/>
        </w:rPr>
      </w:pPr>
      <w:r w:rsidRPr="00424846">
        <w:rPr>
          <w:rFonts w:ascii="Arial" w:hAnsi="Arial" w:cs="Arial"/>
          <w:sz w:val="24"/>
          <w:szCs w:val="24"/>
        </w:rPr>
        <w:t>However, this creates</w:t>
      </w:r>
      <w:r w:rsidR="00434CDE" w:rsidRPr="00424846">
        <w:rPr>
          <w:rFonts w:ascii="Arial" w:hAnsi="Arial" w:cs="Arial"/>
          <w:sz w:val="24"/>
          <w:szCs w:val="24"/>
        </w:rPr>
        <w:t xml:space="preserve"> a dichotomy</w:t>
      </w:r>
      <w:r w:rsidR="001A7110" w:rsidRPr="00424846">
        <w:rPr>
          <w:rFonts w:ascii="Arial" w:hAnsi="Arial" w:cs="Arial"/>
          <w:sz w:val="24"/>
          <w:szCs w:val="24"/>
        </w:rPr>
        <w:t>,</w:t>
      </w:r>
      <w:r w:rsidR="00C03108" w:rsidRPr="00424846">
        <w:rPr>
          <w:rFonts w:ascii="Arial" w:hAnsi="Arial" w:cs="Arial"/>
          <w:sz w:val="24"/>
          <w:szCs w:val="24"/>
        </w:rPr>
        <w:t xml:space="preserve"> </w:t>
      </w:r>
      <w:r w:rsidR="00434CDE" w:rsidRPr="00424846">
        <w:rPr>
          <w:rFonts w:ascii="Arial" w:hAnsi="Arial" w:cs="Arial"/>
          <w:sz w:val="24"/>
          <w:szCs w:val="24"/>
        </w:rPr>
        <w:t>where</w:t>
      </w:r>
      <w:r w:rsidR="00C03108" w:rsidRPr="00424846">
        <w:rPr>
          <w:rFonts w:ascii="Arial" w:hAnsi="Arial" w:cs="Arial"/>
          <w:sz w:val="24"/>
          <w:szCs w:val="24"/>
        </w:rPr>
        <w:t>by</w:t>
      </w:r>
      <w:r w:rsidR="00434CDE" w:rsidRPr="00424846">
        <w:rPr>
          <w:rFonts w:ascii="Arial" w:hAnsi="Arial" w:cs="Arial"/>
          <w:sz w:val="24"/>
          <w:szCs w:val="24"/>
        </w:rPr>
        <w:t xml:space="preserve"> the state becomes just as ‘</w:t>
      </w:r>
      <w:r w:rsidR="001A7110" w:rsidRPr="00424846">
        <w:rPr>
          <w:rFonts w:ascii="Arial" w:hAnsi="Arial" w:cs="Arial"/>
          <w:sz w:val="24"/>
          <w:szCs w:val="24"/>
        </w:rPr>
        <w:t>morally e</w:t>
      </w:r>
      <w:r w:rsidR="00434CDE" w:rsidRPr="00424846">
        <w:rPr>
          <w:rFonts w:ascii="Arial" w:hAnsi="Arial" w:cs="Arial"/>
          <w:sz w:val="24"/>
          <w:szCs w:val="24"/>
        </w:rPr>
        <w:t>vil’ as terrorist</w:t>
      </w:r>
      <w:r w:rsidR="00D14E97" w:rsidRPr="00424846">
        <w:rPr>
          <w:rFonts w:ascii="Arial" w:hAnsi="Arial" w:cs="Arial"/>
          <w:sz w:val="24"/>
          <w:szCs w:val="24"/>
        </w:rPr>
        <w:t>s</w:t>
      </w:r>
      <w:r w:rsidR="001E7CB5" w:rsidRPr="00424846">
        <w:rPr>
          <w:rFonts w:ascii="Arial" w:hAnsi="Arial" w:cs="Arial"/>
          <w:sz w:val="24"/>
          <w:szCs w:val="24"/>
        </w:rPr>
        <w:t xml:space="preserve"> and</w:t>
      </w:r>
      <w:r w:rsidR="00505FFB" w:rsidRPr="00424846">
        <w:rPr>
          <w:rFonts w:ascii="Arial" w:hAnsi="Arial" w:cs="Arial"/>
          <w:sz w:val="24"/>
          <w:szCs w:val="24"/>
        </w:rPr>
        <w:t xml:space="preserve"> where it insult</w:t>
      </w:r>
      <w:r w:rsidR="000C0453" w:rsidRPr="00424846">
        <w:rPr>
          <w:rFonts w:ascii="Arial" w:hAnsi="Arial" w:cs="Arial"/>
          <w:sz w:val="24"/>
          <w:szCs w:val="24"/>
        </w:rPr>
        <w:t>s</w:t>
      </w:r>
      <w:r w:rsidR="00505FFB" w:rsidRPr="00424846">
        <w:rPr>
          <w:rFonts w:ascii="Arial" w:hAnsi="Arial" w:cs="Arial"/>
          <w:sz w:val="24"/>
          <w:szCs w:val="24"/>
        </w:rPr>
        <w:t xml:space="preserve"> and derogate</w:t>
      </w:r>
      <w:r w:rsidR="000C0453" w:rsidRPr="00424846">
        <w:rPr>
          <w:rFonts w:ascii="Arial" w:hAnsi="Arial" w:cs="Arial"/>
          <w:sz w:val="24"/>
          <w:szCs w:val="24"/>
        </w:rPr>
        <w:t>s</w:t>
      </w:r>
      <w:r w:rsidR="00505FFB" w:rsidRPr="00424846">
        <w:rPr>
          <w:rFonts w:ascii="Arial" w:hAnsi="Arial" w:cs="Arial"/>
          <w:sz w:val="24"/>
          <w:szCs w:val="24"/>
        </w:rPr>
        <w:t xml:space="preserve"> the principles and morality of society </w:t>
      </w:r>
      <w:r w:rsidR="001E7CB5" w:rsidRPr="00424846">
        <w:rPr>
          <w:rFonts w:ascii="Arial" w:hAnsi="Arial" w:cs="Arial"/>
          <w:sz w:val="24"/>
          <w:szCs w:val="24"/>
        </w:rPr>
        <w:t xml:space="preserve">and its institutions </w:t>
      </w:r>
      <w:r w:rsidR="00505FFB" w:rsidRPr="00424846">
        <w:rPr>
          <w:rFonts w:ascii="Arial" w:hAnsi="Arial" w:cs="Arial"/>
          <w:sz w:val="24"/>
          <w:szCs w:val="24"/>
        </w:rPr>
        <w:t xml:space="preserve">to resort to </w:t>
      </w:r>
      <w:r w:rsidR="00D14E97" w:rsidRPr="00424846">
        <w:rPr>
          <w:rFonts w:ascii="Arial" w:hAnsi="Arial" w:cs="Arial"/>
          <w:sz w:val="24"/>
          <w:szCs w:val="24"/>
        </w:rPr>
        <w:t>torture</w:t>
      </w:r>
      <w:r w:rsidR="001E7CB5" w:rsidRPr="00424846">
        <w:rPr>
          <w:rFonts w:ascii="Arial" w:hAnsi="Arial" w:cs="Arial"/>
          <w:sz w:val="24"/>
          <w:szCs w:val="24"/>
        </w:rPr>
        <w:t xml:space="preserve">. </w:t>
      </w:r>
      <w:r w:rsidR="00B65DAE" w:rsidRPr="00424846">
        <w:rPr>
          <w:rFonts w:ascii="Arial" w:hAnsi="Arial" w:cs="Arial"/>
          <w:sz w:val="24"/>
          <w:szCs w:val="24"/>
        </w:rPr>
        <w:t xml:space="preserve">Disregarding the foundations of morality that underpin law, where harm, imprisonment or punishment should not be caused before a trial and under no circumstances should the state consider torture. </w:t>
      </w:r>
      <w:r w:rsidR="000C0453" w:rsidRPr="00424846">
        <w:rPr>
          <w:rFonts w:ascii="Arial" w:hAnsi="Arial" w:cs="Arial"/>
          <w:sz w:val="24"/>
          <w:szCs w:val="24"/>
        </w:rPr>
        <w:t>Jean supports this view, countering Posner point, by arguing that ‘the state has a responsibility to utilize any [and only] morally justifiable means at their disposal to protect innocent people’</w:t>
      </w:r>
      <w:r w:rsidR="000C0453" w:rsidRPr="00424846">
        <w:rPr>
          <w:rStyle w:val="FootnoteReference"/>
          <w:rFonts w:ascii="Arial" w:hAnsi="Arial" w:cs="Arial"/>
          <w:sz w:val="24"/>
          <w:szCs w:val="24"/>
        </w:rPr>
        <w:footnoteReference w:id="117"/>
      </w:r>
      <w:r w:rsidR="000C0453" w:rsidRPr="00424846">
        <w:rPr>
          <w:rFonts w:ascii="Arial" w:hAnsi="Arial" w:cs="Arial"/>
          <w:sz w:val="24"/>
          <w:szCs w:val="24"/>
        </w:rPr>
        <w:t xml:space="preserve">. </w:t>
      </w:r>
      <w:r w:rsidR="00B65DAE" w:rsidRPr="00424846">
        <w:rPr>
          <w:rFonts w:ascii="Arial" w:hAnsi="Arial" w:cs="Arial"/>
          <w:sz w:val="24"/>
          <w:szCs w:val="24"/>
        </w:rPr>
        <w:t>Jean also argues against the</w:t>
      </w:r>
      <w:r w:rsidR="00170308" w:rsidRPr="00424846">
        <w:rPr>
          <w:rFonts w:ascii="Arial" w:hAnsi="Arial" w:cs="Arial"/>
          <w:sz w:val="24"/>
          <w:szCs w:val="24"/>
        </w:rPr>
        <w:t xml:space="preserve"> utilitarian argument,</w:t>
      </w:r>
      <w:r w:rsidR="000C0453" w:rsidRPr="00424846">
        <w:rPr>
          <w:rFonts w:ascii="Arial" w:hAnsi="Arial" w:cs="Arial"/>
          <w:sz w:val="24"/>
          <w:szCs w:val="24"/>
        </w:rPr>
        <w:t xml:space="preserve"> </w:t>
      </w:r>
      <w:r w:rsidR="00170308" w:rsidRPr="00424846">
        <w:rPr>
          <w:rFonts w:ascii="Arial" w:hAnsi="Arial" w:cs="Arial"/>
          <w:sz w:val="24"/>
          <w:szCs w:val="24"/>
        </w:rPr>
        <w:t>criticis</w:t>
      </w:r>
      <w:r w:rsidR="00B65DAE" w:rsidRPr="00424846">
        <w:rPr>
          <w:rFonts w:ascii="Arial" w:hAnsi="Arial" w:cs="Arial"/>
          <w:sz w:val="24"/>
          <w:szCs w:val="24"/>
        </w:rPr>
        <w:t>ing</w:t>
      </w:r>
      <w:r w:rsidR="00170308" w:rsidRPr="00424846">
        <w:rPr>
          <w:rFonts w:ascii="Arial" w:hAnsi="Arial" w:cs="Arial"/>
          <w:sz w:val="24"/>
          <w:szCs w:val="24"/>
        </w:rPr>
        <w:t xml:space="preserve"> the</w:t>
      </w:r>
      <w:r w:rsidR="000C0453" w:rsidRPr="00424846">
        <w:rPr>
          <w:rFonts w:ascii="Arial" w:hAnsi="Arial" w:cs="Arial"/>
          <w:sz w:val="24"/>
          <w:szCs w:val="24"/>
        </w:rPr>
        <w:t>ir</w:t>
      </w:r>
      <w:r w:rsidR="00170308" w:rsidRPr="00424846">
        <w:rPr>
          <w:rFonts w:ascii="Arial" w:hAnsi="Arial" w:cs="Arial"/>
          <w:sz w:val="24"/>
          <w:szCs w:val="24"/>
        </w:rPr>
        <w:t xml:space="preserve"> justification of torture</w:t>
      </w:r>
      <w:r w:rsidR="00112BD7" w:rsidRPr="00424846">
        <w:rPr>
          <w:rFonts w:ascii="Arial" w:hAnsi="Arial" w:cs="Arial"/>
          <w:sz w:val="24"/>
          <w:szCs w:val="24"/>
        </w:rPr>
        <w:t xml:space="preserve"> (</w:t>
      </w:r>
      <w:r w:rsidR="00375264" w:rsidRPr="00424846">
        <w:rPr>
          <w:rFonts w:ascii="Arial" w:hAnsi="Arial" w:cs="Arial"/>
          <w:sz w:val="24"/>
          <w:szCs w:val="24"/>
        </w:rPr>
        <w:t xml:space="preserve">which is </w:t>
      </w:r>
      <w:r w:rsidR="00170308" w:rsidRPr="00424846">
        <w:rPr>
          <w:rFonts w:ascii="Arial" w:hAnsi="Arial" w:cs="Arial"/>
          <w:sz w:val="24"/>
          <w:szCs w:val="24"/>
        </w:rPr>
        <w:t>based on numbers</w:t>
      </w:r>
      <w:r w:rsidR="00112BD7" w:rsidRPr="00424846">
        <w:rPr>
          <w:rFonts w:ascii="Arial" w:hAnsi="Arial" w:cs="Arial"/>
          <w:sz w:val="24"/>
          <w:szCs w:val="24"/>
        </w:rPr>
        <w:t>)</w:t>
      </w:r>
      <w:r w:rsidR="00375264" w:rsidRPr="00424846">
        <w:rPr>
          <w:rFonts w:ascii="Arial" w:hAnsi="Arial" w:cs="Arial"/>
          <w:sz w:val="24"/>
          <w:szCs w:val="24"/>
        </w:rPr>
        <w:t xml:space="preserve">, </w:t>
      </w:r>
      <w:r w:rsidR="00B65DAE" w:rsidRPr="00424846">
        <w:rPr>
          <w:rFonts w:ascii="Arial" w:hAnsi="Arial" w:cs="Arial"/>
          <w:sz w:val="24"/>
          <w:szCs w:val="24"/>
        </w:rPr>
        <w:t xml:space="preserve">from </w:t>
      </w:r>
      <w:r w:rsidR="00375264" w:rsidRPr="00424846">
        <w:rPr>
          <w:rFonts w:ascii="Arial" w:hAnsi="Arial" w:cs="Arial"/>
          <w:sz w:val="24"/>
          <w:szCs w:val="24"/>
        </w:rPr>
        <w:t>the</w:t>
      </w:r>
      <w:r w:rsidR="00B65DAE" w:rsidRPr="00424846">
        <w:rPr>
          <w:rFonts w:ascii="Arial" w:hAnsi="Arial" w:cs="Arial"/>
          <w:sz w:val="24"/>
          <w:szCs w:val="24"/>
        </w:rPr>
        <w:t xml:space="preserve"> standpoint of </w:t>
      </w:r>
      <w:r w:rsidR="000C0453" w:rsidRPr="00424846">
        <w:rPr>
          <w:rFonts w:ascii="Arial" w:hAnsi="Arial" w:cs="Arial"/>
          <w:sz w:val="24"/>
          <w:szCs w:val="24"/>
        </w:rPr>
        <w:t>deteriorat</w:t>
      </w:r>
      <w:r w:rsidR="00112BD7" w:rsidRPr="00424846">
        <w:rPr>
          <w:rFonts w:ascii="Arial" w:hAnsi="Arial" w:cs="Arial"/>
          <w:sz w:val="24"/>
          <w:szCs w:val="24"/>
        </w:rPr>
        <w:t>ing societies</w:t>
      </w:r>
      <w:r w:rsidR="000C0453" w:rsidRPr="00424846">
        <w:rPr>
          <w:rFonts w:ascii="Arial" w:hAnsi="Arial" w:cs="Arial"/>
          <w:sz w:val="24"/>
          <w:szCs w:val="24"/>
        </w:rPr>
        <w:t xml:space="preserve"> </w:t>
      </w:r>
      <w:r w:rsidR="00B65DAE" w:rsidRPr="00424846">
        <w:rPr>
          <w:rFonts w:ascii="Arial" w:hAnsi="Arial" w:cs="Arial"/>
          <w:sz w:val="24"/>
          <w:szCs w:val="24"/>
        </w:rPr>
        <w:t>morality and ethics</w:t>
      </w:r>
      <w:r w:rsidR="000C0453" w:rsidRPr="00424846">
        <w:rPr>
          <w:rFonts w:ascii="Arial" w:hAnsi="Arial" w:cs="Arial"/>
          <w:sz w:val="24"/>
          <w:szCs w:val="24"/>
        </w:rPr>
        <w:t xml:space="preserve">. </w:t>
      </w:r>
      <w:r w:rsidR="005B2794" w:rsidRPr="00424846">
        <w:rPr>
          <w:rFonts w:ascii="Arial" w:hAnsi="Arial" w:cs="Arial"/>
          <w:sz w:val="24"/>
          <w:szCs w:val="24"/>
        </w:rPr>
        <w:t xml:space="preserve">She </w:t>
      </w:r>
      <w:r w:rsidR="00A472B3" w:rsidRPr="00424846">
        <w:rPr>
          <w:rFonts w:ascii="Arial" w:hAnsi="Arial" w:cs="Arial"/>
          <w:sz w:val="24"/>
          <w:szCs w:val="24"/>
        </w:rPr>
        <w:t>continues</w:t>
      </w:r>
      <w:r w:rsidR="00113792" w:rsidRPr="00424846">
        <w:rPr>
          <w:rFonts w:ascii="Arial" w:hAnsi="Arial" w:cs="Arial"/>
          <w:sz w:val="24"/>
          <w:szCs w:val="24"/>
        </w:rPr>
        <w:t xml:space="preserve">, </w:t>
      </w:r>
      <w:r w:rsidR="00A472B3" w:rsidRPr="00424846">
        <w:rPr>
          <w:rFonts w:ascii="Arial" w:hAnsi="Arial" w:cs="Arial"/>
          <w:sz w:val="24"/>
          <w:szCs w:val="24"/>
        </w:rPr>
        <w:t xml:space="preserve">that </w:t>
      </w:r>
      <w:r w:rsidR="00692C26" w:rsidRPr="00424846">
        <w:rPr>
          <w:rFonts w:ascii="Arial" w:hAnsi="Arial" w:cs="Arial"/>
          <w:sz w:val="24"/>
          <w:szCs w:val="24"/>
        </w:rPr>
        <w:t>even the slightest use of torture</w:t>
      </w:r>
      <w:r w:rsidR="001C193A" w:rsidRPr="00424846">
        <w:rPr>
          <w:rFonts w:ascii="Arial" w:hAnsi="Arial" w:cs="Arial"/>
          <w:sz w:val="24"/>
          <w:szCs w:val="24"/>
        </w:rPr>
        <w:t xml:space="preserve">, </w:t>
      </w:r>
      <w:r w:rsidR="00692C26" w:rsidRPr="00424846">
        <w:rPr>
          <w:rFonts w:ascii="Arial" w:hAnsi="Arial" w:cs="Arial"/>
          <w:sz w:val="24"/>
          <w:szCs w:val="24"/>
        </w:rPr>
        <w:t>will cause harm to our democratic values</w:t>
      </w:r>
      <w:r w:rsidR="000E78FF" w:rsidRPr="00424846">
        <w:rPr>
          <w:rStyle w:val="FootnoteReference"/>
          <w:rFonts w:ascii="Arial" w:hAnsi="Arial" w:cs="Arial"/>
          <w:sz w:val="24"/>
          <w:szCs w:val="24"/>
        </w:rPr>
        <w:footnoteReference w:id="118"/>
      </w:r>
      <w:r w:rsidR="00692C26" w:rsidRPr="00424846">
        <w:rPr>
          <w:rFonts w:ascii="Arial" w:hAnsi="Arial" w:cs="Arial"/>
          <w:sz w:val="24"/>
          <w:szCs w:val="24"/>
        </w:rPr>
        <w:t xml:space="preserve">, </w:t>
      </w:r>
      <w:r w:rsidR="00112BD7" w:rsidRPr="00424846">
        <w:rPr>
          <w:rFonts w:ascii="Arial" w:hAnsi="Arial" w:cs="Arial"/>
          <w:sz w:val="24"/>
          <w:szCs w:val="24"/>
        </w:rPr>
        <w:t>turning</w:t>
      </w:r>
      <w:r w:rsidR="00692C26" w:rsidRPr="00424846">
        <w:rPr>
          <w:rFonts w:ascii="Arial" w:hAnsi="Arial" w:cs="Arial"/>
          <w:sz w:val="24"/>
          <w:szCs w:val="24"/>
        </w:rPr>
        <w:t xml:space="preserve"> us into</w:t>
      </w:r>
      <w:r w:rsidR="00112BD7" w:rsidRPr="00424846">
        <w:rPr>
          <w:rFonts w:ascii="Arial" w:hAnsi="Arial" w:cs="Arial"/>
          <w:sz w:val="24"/>
          <w:szCs w:val="24"/>
        </w:rPr>
        <w:t xml:space="preserve"> the same terrorists we fight</w:t>
      </w:r>
      <w:r w:rsidR="009B5EC1" w:rsidRPr="00424846">
        <w:rPr>
          <w:rFonts w:ascii="Arial" w:hAnsi="Arial" w:cs="Arial"/>
          <w:sz w:val="24"/>
          <w:szCs w:val="24"/>
        </w:rPr>
        <w:t xml:space="preserve"> against</w:t>
      </w:r>
      <w:r w:rsidR="00692C26" w:rsidRPr="00424846">
        <w:rPr>
          <w:rFonts w:ascii="Arial" w:hAnsi="Arial" w:cs="Arial"/>
          <w:sz w:val="24"/>
          <w:szCs w:val="24"/>
        </w:rPr>
        <w:t xml:space="preserve">.  </w:t>
      </w:r>
      <w:r w:rsidR="009B5EC1" w:rsidRPr="00424846">
        <w:rPr>
          <w:rFonts w:ascii="Arial" w:hAnsi="Arial" w:cs="Arial"/>
          <w:sz w:val="24"/>
          <w:szCs w:val="24"/>
        </w:rPr>
        <w:t>Bagaric</w:t>
      </w:r>
      <w:r w:rsidR="00112BD7" w:rsidRPr="00424846">
        <w:rPr>
          <w:rFonts w:ascii="Arial" w:hAnsi="Arial" w:cs="Arial"/>
          <w:sz w:val="24"/>
          <w:szCs w:val="24"/>
        </w:rPr>
        <w:t xml:space="preserve">, on the other hand, </w:t>
      </w:r>
      <w:r w:rsidR="009B5EC1" w:rsidRPr="00424846">
        <w:rPr>
          <w:rFonts w:ascii="Arial" w:hAnsi="Arial" w:cs="Arial"/>
          <w:sz w:val="24"/>
          <w:szCs w:val="24"/>
        </w:rPr>
        <w:t xml:space="preserve">counter her point, </w:t>
      </w:r>
      <w:r w:rsidR="001C193A" w:rsidRPr="00424846">
        <w:rPr>
          <w:rFonts w:ascii="Arial" w:hAnsi="Arial" w:cs="Arial"/>
          <w:sz w:val="24"/>
          <w:szCs w:val="24"/>
        </w:rPr>
        <w:t xml:space="preserve">by stating </w:t>
      </w:r>
      <w:r w:rsidR="009B5EC1" w:rsidRPr="00424846">
        <w:rPr>
          <w:rFonts w:ascii="Arial" w:hAnsi="Arial" w:cs="Arial"/>
          <w:sz w:val="24"/>
          <w:szCs w:val="24"/>
        </w:rPr>
        <w:t xml:space="preserve">that if an ultimatum was ever </w:t>
      </w:r>
      <w:r w:rsidR="001C193A" w:rsidRPr="00424846">
        <w:rPr>
          <w:rFonts w:ascii="Arial" w:hAnsi="Arial" w:cs="Arial"/>
          <w:sz w:val="24"/>
          <w:szCs w:val="24"/>
        </w:rPr>
        <w:t>provided</w:t>
      </w:r>
      <w:r w:rsidR="009B5EC1" w:rsidRPr="00424846">
        <w:rPr>
          <w:rFonts w:ascii="Arial" w:hAnsi="Arial" w:cs="Arial"/>
          <w:sz w:val="24"/>
          <w:szCs w:val="24"/>
        </w:rPr>
        <w:t xml:space="preserve"> between </w:t>
      </w:r>
      <w:r w:rsidR="00F423DA" w:rsidRPr="00424846">
        <w:rPr>
          <w:rFonts w:ascii="Arial" w:hAnsi="Arial" w:cs="Arial"/>
          <w:sz w:val="24"/>
          <w:szCs w:val="24"/>
        </w:rPr>
        <w:t>‘</w:t>
      </w:r>
      <w:r w:rsidR="009B5EC1" w:rsidRPr="00424846">
        <w:rPr>
          <w:rFonts w:ascii="Arial" w:hAnsi="Arial" w:cs="Arial"/>
          <w:sz w:val="24"/>
          <w:szCs w:val="24"/>
        </w:rPr>
        <w:t>a relatively smaller harm</w:t>
      </w:r>
      <w:r w:rsidR="00F423DA" w:rsidRPr="00424846">
        <w:rPr>
          <w:rFonts w:ascii="Arial" w:hAnsi="Arial" w:cs="Arial"/>
          <w:sz w:val="24"/>
          <w:szCs w:val="24"/>
        </w:rPr>
        <w:t>’</w:t>
      </w:r>
      <w:r w:rsidR="009B5EC1" w:rsidRPr="00424846">
        <w:rPr>
          <w:rFonts w:ascii="Arial" w:hAnsi="Arial" w:cs="Arial"/>
          <w:sz w:val="24"/>
          <w:szCs w:val="24"/>
        </w:rPr>
        <w:t xml:space="preserve"> inflicted on one individual</w:t>
      </w:r>
      <w:r w:rsidR="00112BD7" w:rsidRPr="00424846">
        <w:rPr>
          <w:rFonts w:ascii="Arial" w:hAnsi="Arial" w:cs="Arial"/>
          <w:sz w:val="24"/>
          <w:szCs w:val="24"/>
        </w:rPr>
        <w:t xml:space="preserve">, </w:t>
      </w:r>
      <w:r w:rsidR="009B5EC1" w:rsidRPr="00424846">
        <w:rPr>
          <w:rFonts w:ascii="Arial" w:hAnsi="Arial" w:cs="Arial"/>
          <w:sz w:val="24"/>
          <w:szCs w:val="24"/>
        </w:rPr>
        <w:t>or</w:t>
      </w:r>
      <w:r w:rsidR="00112BD7" w:rsidRPr="00424846">
        <w:rPr>
          <w:rFonts w:ascii="Arial" w:hAnsi="Arial" w:cs="Arial"/>
          <w:sz w:val="24"/>
          <w:szCs w:val="24"/>
        </w:rPr>
        <w:t xml:space="preserve">, </w:t>
      </w:r>
      <w:r w:rsidR="009B5EC1" w:rsidRPr="00424846">
        <w:rPr>
          <w:rFonts w:ascii="Arial" w:hAnsi="Arial" w:cs="Arial"/>
          <w:sz w:val="24"/>
          <w:szCs w:val="24"/>
        </w:rPr>
        <w:t xml:space="preserve">death </w:t>
      </w:r>
      <w:r w:rsidR="00113792" w:rsidRPr="00424846">
        <w:rPr>
          <w:rFonts w:ascii="Arial" w:hAnsi="Arial" w:cs="Arial"/>
          <w:sz w:val="24"/>
          <w:szCs w:val="24"/>
        </w:rPr>
        <w:t>of</w:t>
      </w:r>
      <w:r w:rsidR="009B5EC1" w:rsidRPr="00424846">
        <w:rPr>
          <w:rFonts w:ascii="Arial" w:hAnsi="Arial" w:cs="Arial"/>
          <w:sz w:val="24"/>
          <w:szCs w:val="24"/>
        </w:rPr>
        <w:t xml:space="preserve"> hundreds</w:t>
      </w:r>
      <w:r w:rsidR="00113792" w:rsidRPr="00424846">
        <w:rPr>
          <w:rFonts w:ascii="Arial" w:hAnsi="Arial" w:cs="Arial"/>
          <w:sz w:val="24"/>
          <w:szCs w:val="24"/>
        </w:rPr>
        <w:t xml:space="preserve"> of people</w:t>
      </w:r>
      <w:r w:rsidR="00F423DA" w:rsidRPr="00424846">
        <w:rPr>
          <w:rFonts w:ascii="Arial" w:hAnsi="Arial" w:cs="Arial"/>
          <w:sz w:val="24"/>
          <w:szCs w:val="24"/>
        </w:rPr>
        <w:t xml:space="preserve">, ‘it </w:t>
      </w:r>
      <w:r w:rsidR="001C193A" w:rsidRPr="00424846">
        <w:rPr>
          <w:rFonts w:ascii="Arial" w:hAnsi="Arial" w:cs="Arial"/>
          <w:sz w:val="24"/>
          <w:szCs w:val="24"/>
        </w:rPr>
        <w:t xml:space="preserve">[will] </w:t>
      </w:r>
      <w:r w:rsidR="00F423DA" w:rsidRPr="00424846">
        <w:rPr>
          <w:rFonts w:ascii="Arial" w:hAnsi="Arial" w:cs="Arial"/>
          <w:sz w:val="24"/>
          <w:szCs w:val="24"/>
        </w:rPr>
        <w:t>verg</w:t>
      </w:r>
      <w:r w:rsidR="001C193A" w:rsidRPr="00424846">
        <w:rPr>
          <w:rFonts w:ascii="Arial" w:hAnsi="Arial" w:cs="Arial"/>
          <w:sz w:val="24"/>
          <w:szCs w:val="24"/>
        </w:rPr>
        <w:t>e</w:t>
      </w:r>
      <w:r w:rsidR="00F423DA" w:rsidRPr="00424846">
        <w:rPr>
          <w:rFonts w:ascii="Arial" w:hAnsi="Arial" w:cs="Arial"/>
          <w:sz w:val="24"/>
          <w:szCs w:val="24"/>
        </w:rPr>
        <w:t xml:space="preserve"> on moral indecency to prefer the interests </w:t>
      </w:r>
      <w:r w:rsidR="00F423DA" w:rsidRPr="00424846">
        <w:rPr>
          <w:rFonts w:ascii="Arial" w:hAnsi="Arial" w:cs="Arial"/>
          <w:sz w:val="24"/>
          <w:szCs w:val="24"/>
        </w:rPr>
        <w:lastRenderedPageBreak/>
        <w:t>of the wrongdoer’ over that of the innocent collective</w:t>
      </w:r>
      <w:r w:rsidR="00F423DA" w:rsidRPr="00424846">
        <w:rPr>
          <w:rStyle w:val="FootnoteReference"/>
          <w:rFonts w:ascii="Arial" w:hAnsi="Arial" w:cs="Arial"/>
          <w:sz w:val="24"/>
          <w:szCs w:val="24"/>
        </w:rPr>
        <w:footnoteReference w:id="119"/>
      </w:r>
      <w:r w:rsidR="00F423DA" w:rsidRPr="00424846">
        <w:rPr>
          <w:rFonts w:ascii="Arial" w:hAnsi="Arial" w:cs="Arial"/>
          <w:sz w:val="24"/>
          <w:szCs w:val="24"/>
        </w:rPr>
        <w:t xml:space="preserve">. </w:t>
      </w:r>
      <w:r w:rsidR="00113792" w:rsidRPr="00424846">
        <w:rPr>
          <w:rFonts w:ascii="Arial" w:hAnsi="Arial" w:cs="Arial"/>
          <w:sz w:val="24"/>
          <w:szCs w:val="24"/>
        </w:rPr>
        <w:t>Walzer</w:t>
      </w:r>
      <w:r w:rsidR="00112BD7" w:rsidRPr="00424846">
        <w:rPr>
          <w:rFonts w:ascii="Arial" w:hAnsi="Arial" w:cs="Arial"/>
          <w:sz w:val="24"/>
          <w:szCs w:val="24"/>
        </w:rPr>
        <w:t xml:space="preserve"> </w:t>
      </w:r>
      <w:r w:rsidR="00113792" w:rsidRPr="00424846">
        <w:rPr>
          <w:rFonts w:ascii="Arial" w:hAnsi="Arial" w:cs="Arial"/>
          <w:sz w:val="24"/>
          <w:szCs w:val="24"/>
        </w:rPr>
        <w:t>find</w:t>
      </w:r>
      <w:r w:rsidR="003F2CC4" w:rsidRPr="00424846">
        <w:rPr>
          <w:rFonts w:ascii="Arial" w:hAnsi="Arial" w:cs="Arial"/>
          <w:sz w:val="24"/>
          <w:szCs w:val="24"/>
        </w:rPr>
        <w:t>s</w:t>
      </w:r>
      <w:r w:rsidR="00113792" w:rsidRPr="00424846">
        <w:rPr>
          <w:rFonts w:ascii="Arial" w:hAnsi="Arial" w:cs="Arial"/>
          <w:sz w:val="24"/>
          <w:szCs w:val="24"/>
        </w:rPr>
        <w:t xml:space="preserve"> a balance between them </w:t>
      </w:r>
      <w:r w:rsidR="00CD02E9" w:rsidRPr="00424846">
        <w:rPr>
          <w:rFonts w:ascii="Arial" w:hAnsi="Arial" w:cs="Arial"/>
          <w:sz w:val="24"/>
          <w:szCs w:val="24"/>
        </w:rPr>
        <w:t>both</w:t>
      </w:r>
      <w:r w:rsidR="00112BD7" w:rsidRPr="00424846">
        <w:rPr>
          <w:rFonts w:ascii="Arial" w:hAnsi="Arial" w:cs="Arial"/>
          <w:sz w:val="24"/>
          <w:szCs w:val="24"/>
        </w:rPr>
        <w:t xml:space="preserve">, </w:t>
      </w:r>
      <w:r w:rsidR="00113792" w:rsidRPr="00424846">
        <w:rPr>
          <w:rFonts w:ascii="Arial" w:hAnsi="Arial" w:cs="Arial"/>
          <w:sz w:val="24"/>
          <w:szCs w:val="24"/>
        </w:rPr>
        <w:t>by</w:t>
      </w:r>
      <w:r w:rsidR="00112BD7" w:rsidRPr="00424846">
        <w:rPr>
          <w:rFonts w:ascii="Arial" w:hAnsi="Arial" w:cs="Arial"/>
          <w:sz w:val="24"/>
          <w:szCs w:val="24"/>
        </w:rPr>
        <w:t xml:space="preserve"> supporting the states use of</w:t>
      </w:r>
      <w:r w:rsidR="00CD02E9" w:rsidRPr="00424846">
        <w:rPr>
          <w:rFonts w:ascii="Arial" w:hAnsi="Arial" w:cs="Arial"/>
          <w:sz w:val="24"/>
          <w:szCs w:val="24"/>
        </w:rPr>
        <w:t xml:space="preserve"> torture in TBS</w:t>
      </w:r>
      <w:r w:rsidR="00112BD7" w:rsidRPr="00424846">
        <w:rPr>
          <w:rFonts w:ascii="Arial" w:hAnsi="Arial" w:cs="Arial"/>
          <w:sz w:val="24"/>
          <w:szCs w:val="24"/>
        </w:rPr>
        <w:t xml:space="preserve">’s, </w:t>
      </w:r>
      <w:r w:rsidR="00CD02E9" w:rsidRPr="00424846">
        <w:rPr>
          <w:rFonts w:ascii="Arial" w:hAnsi="Arial" w:cs="Arial"/>
          <w:sz w:val="24"/>
          <w:szCs w:val="24"/>
        </w:rPr>
        <w:t>so long as the</w:t>
      </w:r>
      <w:r w:rsidR="00112BD7" w:rsidRPr="00424846">
        <w:rPr>
          <w:rFonts w:ascii="Arial" w:hAnsi="Arial" w:cs="Arial"/>
          <w:sz w:val="24"/>
          <w:szCs w:val="24"/>
        </w:rPr>
        <w:t xml:space="preserve"> state</w:t>
      </w:r>
      <w:r w:rsidR="00CD02E9" w:rsidRPr="00424846">
        <w:rPr>
          <w:rFonts w:ascii="Arial" w:hAnsi="Arial" w:cs="Arial"/>
          <w:sz w:val="24"/>
          <w:szCs w:val="24"/>
        </w:rPr>
        <w:t xml:space="preserve"> </w:t>
      </w:r>
      <w:r w:rsidR="00112BD7" w:rsidRPr="00424846">
        <w:rPr>
          <w:rFonts w:ascii="Arial" w:hAnsi="Arial" w:cs="Arial"/>
          <w:sz w:val="24"/>
          <w:szCs w:val="24"/>
        </w:rPr>
        <w:t>is</w:t>
      </w:r>
      <w:r w:rsidR="00CD02E9" w:rsidRPr="00424846">
        <w:rPr>
          <w:rFonts w:ascii="Arial" w:hAnsi="Arial" w:cs="Arial"/>
          <w:sz w:val="24"/>
          <w:szCs w:val="24"/>
        </w:rPr>
        <w:t xml:space="preserve"> willing to acknowledge their wrongdoing and guilt in using such a method. </w:t>
      </w:r>
      <w:r w:rsidR="007266D7" w:rsidRPr="00424846">
        <w:rPr>
          <w:rFonts w:ascii="Arial" w:hAnsi="Arial" w:cs="Arial"/>
          <w:sz w:val="24"/>
          <w:szCs w:val="24"/>
        </w:rPr>
        <w:t>He goes further by stating that, although, limitations to the law should exists and be respected and followed, we should ‘empower our state leaders’ to protect us, by any means necessary</w:t>
      </w:r>
      <w:r w:rsidR="00AB4B53" w:rsidRPr="00424846">
        <w:rPr>
          <w:rStyle w:val="FootnoteReference"/>
          <w:rFonts w:ascii="Arial" w:hAnsi="Arial" w:cs="Arial"/>
          <w:sz w:val="24"/>
          <w:szCs w:val="24"/>
        </w:rPr>
        <w:footnoteReference w:id="120"/>
      </w:r>
      <w:r w:rsidR="007266D7" w:rsidRPr="00424846">
        <w:rPr>
          <w:rFonts w:ascii="Arial" w:hAnsi="Arial" w:cs="Arial"/>
          <w:sz w:val="24"/>
          <w:szCs w:val="24"/>
        </w:rPr>
        <w:t xml:space="preserve">. </w:t>
      </w:r>
      <w:r w:rsidR="00CD02E9" w:rsidRPr="00424846">
        <w:rPr>
          <w:rFonts w:ascii="Arial" w:hAnsi="Arial" w:cs="Arial"/>
          <w:sz w:val="24"/>
          <w:szCs w:val="24"/>
        </w:rPr>
        <w:t xml:space="preserve">This </w:t>
      </w:r>
      <w:r w:rsidR="008829A8" w:rsidRPr="00424846">
        <w:rPr>
          <w:rFonts w:ascii="Arial" w:hAnsi="Arial" w:cs="Arial"/>
          <w:sz w:val="24"/>
          <w:szCs w:val="24"/>
        </w:rPr>
        <w:t xml:space="preserve">distinguishes </w:t>
      </w:r>
      <w:r w:rsidR="007266D7" w:rsidRPr="00424846">
        <w:rPr>
          <w:rFonts w:ascii="Arial" w:hAnsi="Arial" w:cs="Arial"/>
          <w:sz w:val="24"/>
          <w:szCs w:val="24"/>
        </w:rPr>
        <w:t xml:space="preserve">Walzer’s </w:t>
      </w:r>
      <w:r w:rsidR="008829A8" w:rsidRPr="00424846">
        <w:rPr>
          <w:rFonts w:ascii="Arial" w:hAnsi="Arial" w:cs="Arial"/>
          <w:sz w:val="24"/>
          <w:szCs w:val="24"/>
        </w:rPr>
        <w:t>view from Posner</w:t>
      </w:r>
      <w:r w:rsidR="007266D7" w:rsidRPr="00424846">
        <w:rPr>
          <w:rFonts w:ascii="Arial" w:hAnsi="Arial" w:cs="Arial"/>
          <w:sz w:val="24"/>
          <w:szCs w:val="24"/>
        </w:rPr>
        <w:t>’s</w:t>
      </w:r>
      <w:r w:rsidR="008829A8" w:rsidRPr="00424846">
        <w:rPr>
          <w:rFonts w:ascii="Arial" w:hAnsi="Arial" w:cs="Arial"/>
          <w:sz w:val="24"/>
          <w:szCs w:val="24"/>
        </w:rPr>
        <w:t>, as the</w:t>
      </w:r>
      <w:r w:rsidR="007266D7" w:rsidRPr="00424846">
        <w:rPr>
          <w:rFonts w:ascii="Arial" w:hAnsi="Arial" w:cs="Arial"/>
          <w:sz w:val="24"/>
          <w:szCs w:val="24"/>
        </w:rPr>
        <w:t xml:space="preserve"> former</w:t>
      </w:r>
      <w:r w:rsidR="008829A8" w:rsidRPr="00424846">
        <w:rPr>
          <w:rFonts w:ascii="Arial" w:hAnsi="Arial" w:cs="Arial"/>
          <w:sz w:val="24"/>
          <w:szCs w:val="24"/>
        </w:rPr>
        <w:t xml:space="preserve"> uses the</w:t>
      </w:r>
      <w:r w:rsidR="007266D7" w:rsidRPr="00424846">
        <w:rPr>
          <w:rFonts w:ascii="Arial" w:hAnsi="Arial" w:cs="Arial"/>
          <w:sz w:val="24"/>
          <w:szCs w:val="24"/>
        </w:rPr>
        <w:t xml:space="preserve"> u</w:t>
      </w:r>
      <w:r w:rsidR="008829A8" w:rsidRPr="00424846">
        <w:rPr>
          <w:rFonts w:ascii="Arial" w:hAnsi="Arial" w:cs="Arial"/>
          <w:sz w:val="24"/>
          <w:szCs w:val="24"/>
        </w:rPr>
        <w:t>tilitarian approach to</w:t>
      </w:r>
      <w:r w:rsidR="007266D7" w:rsidRPr="00424846">
        <w:rPr>
          <w:rFonts w:ascii="Arial" w:hAnsi="Arial" w:cs="Arial"/>
          <w:sz w:val="24"/>
          <w:szCs w:val="24"/>
        </w:rPr>
        <w:t xml:space="preserve"> excuse state torture</w:t>
      </w:r>
      <w:r w:rsidR="008829A8" w:rsidRPr="00424846">
        <w:rPr>
          <w:rFonts w:ascii="Arial" w:hAnsi="Arial" w:cs="Arial"/>
          <w:sz w:val="24"/>
          <w:szCs w:val="24"/>
        </w:rPr>
        <w:t xml:space="preserve">, </w:t>
      </w:r>
      <w:r w:rsidR="007266D7" w:rsidRPr="00424846">
        <w:rPr>
          <w:rFonts w:ascii="Arial" w:hAnsi="Arial" w:cs="Arial"/>
          <w:sz w:val="24"/>
          <w:szCs w:val="24"/>
        </w:rPr>
        <w:t>whilst the latter uses utilitarianism to</w:t>
      </w:r>
      <w:r w:rsidR="008829A8" w:rsidRPr="00424846">
        <w:rPr>
          <w:rFonts w:ascii="Arial" w:hAnsi="Arial" w:cs="Arial"/>
          <w:sz w:val="24"/>
          <w:szCs w:val="24"/>
        </w:rPr>
        <w:t xml:space="preserve"> justify it</w:t>
      </w:r>
      <w:r w:rsidR="008829A8" w:rsidRPr="00424846">
        <w:rPr>
          <w:rStyle w:val="FootnoteReference"/>
          <w:rFonts w:ascii="Arial" w:hAnsi="Arial" w:cs="Arial"/>
          <w:sz w:val="24"/>
          <w:szCs w:val="24"/>
        </w:rPr>
        <w:footnoteReference w:id="121"/>
      </w:r>
      <w:r w:rsidR="008829A8" w:rsidRPr="00424846">
        <w:rPr>
          <w:rFonts w:ascii="Arial" w:hAnsi="Arial" w:cs="Arial"/>
          <w:sz w:val="24"/>
          <w:szCs w:val="24"/>
        </w:rPr>
        <w:t xml:space="preserve">. </w:t>
      </w:r>
      <w:r w:rsidR="00DA2FB6" w:rsidRPr="00424846">
        <w:rPr>
          <w:rFonts w:ascii="Arial" w:hAnsi="Arial" w:cs="Arial"/>
          <w:sz w:val="24"/>
          <w:szCs w:val="24"/>
        </w:rPr>
        <w:t xml:space="preserve">Sorell </w:t>
      </w:r>
      <w:r w:rsidR="00101037" w:rsidRPr="00424846">
        <w:rPr>
          <w:rFonts w:ascii="Arial" w:hAnsi="Arial" w:cs="Arial"/>
          <w:sz w:val="24"/>
          <w:szCs w:val="24"/>
        </w:rPr>
        <w:t>reiterates</w:t>
      </w:r>
      <w:r w:rsidR="00A821E7" w:rsidRPr="00424846">
        <w:rPr>
          <w:rFonts w:ascii="Arial" w:hAnsi="Arial" w:cs="Arial"/>
          <w:sz w:val="24"/>
          <w:szCs w:val="24"/>
        </w:rPr>
        <w:t xml:space="preserve"> Walzer</w:t>
      </w:r>
      <w:r w:rsidR="00101037" w:rsidRPr="00424846">
        <w:rPr>
          <w:rFonts w:ascii="Arial" w:hAnsi="Arial" w:cs="Arial"/>
          <w:sz w:val="24"/>
          <w:szCs w:val="24"/>
        </w:rPr>
        <w:t>’s view</w:t>
      </w:r>
      <w:r w:rsidR="00A821E7" w:rsidRPr="00424846">
        <w:rPr>
          <w:rFonts w:ascii="Arial" w:hAnsi="Arial" w:cs="Arial"/>
          <w:sz w:val="24"/>
          <w:szCs w:val="24"/>
        </w:rPr>
        <w:t>,</w:t>
      </w:r>
      <w:r w:rsidR="007D498E" w:rsidRPr="00424846">
        <w:rPr>
          <w:rFonts w:ascii="Arial" w:hAnsi="Arial" w:cs="Arial"/>
          <w:sz w:val="24"/>
          <w:szCs w:val="24"/>
        </w:rPr>
        <w:t xml:space="preserve"> </w:t>
      </w:r>
      <w:r w:rsidR="00A821E7" w:rsidRPr="00424846">
        <w:rPr>
          <w:rFonts w:ascii="Arial" w:hAnsi="Arial" w:cs="Arial"/>
          <w:sz w:val="24"/>
          <w:szCs w:val="24"/>
        </w:rPr>
        <w:t>that the state must always be prepared to sanction torture ‘if the threat to public safety is big enough’</w:t>
      </w:r>
      <w:r w:rsidR="00292BA8" w:rsidRPr="00424846">
        <w:rPr>
          <w:rStyle w:val="FootnoteReference"/>
          <w:rFonts w:ascii="Arial" w:hAnsi="Arial" w:cs="Arial"/>
          <w:sz w:val="24"/>
          <w:szCs w:val="24"/>
        </w:rPr>
        <w:footnoteReference w:id="122"/>
      </w:r>
      <w:r w:rsidR="007D498E" w:rsidRPr="00424846">
        <w:rPr>
          <w:rFonts w:ascii="Arial" w:hAnsi="Arial" w:cs="Arial"/>
          <w:sz w:val="24"/>
          <w:szCs w:val="24"/>
        </w:rPr>
        <w:t xml:space="preserve">, as even, a </w:t>
      </w:r>
      <w:r w:rsidR="00A821E7" w:rsidRPr="00424846">
        <w:rPr>
          <w:rFonts w:ascii="Arial" w:hAnsi="Arial" w:cs="Arial"/>
          <w:sz w:val="24"/>
          <w:szCs w:val="24"/>
        </w:rPr>
        <w:t>prohibited act need</w:t>
      </w:r>
      <w:r w:rsidR="007D498E" w:rsidRPr="00424846">
        <w:rPr>
          <w:rFonts w:ascii="Arial" w:hAnsi="Arial" w:cs="Arial"/>
          <w:sz w:val="24"/>
          <w:szCs w:val="24"/>
        </w:rPr>
        <w:t>s</w:t>
      </w:r>
      <w:r w:rsidR="00A821E7" w:rsidRPr="00424846">
        <w:rPr>
          <w:rFonts w:ascii="Arial" w:hAnsi="Arial" w:cs="Arial"/>
          <w:sz w:val="24"/>
          <w:szCs w:val="24"/>
        </w:rPr>
        <w:t xml:space="preserve"> to be reconsidered</w:t>
      </w:r>
      <w:r w:rsidR="00101037" w:rsidRPr="00424846">
        <w:rPr>
          <w:rFonts w:ascii="Arial" w:hAnsi="Arial" w:cs="Arial"/>
          <w:sz w:val="24"/>
          <w:szCs w:val="24"/>
        </w:rPr>
        <w:t xml:space="preserve">, </w:t>
      </w:r>
      <w:r w:rsidR="00A821E7" w:rsidRPr="00424846">
        <w:rPr>
          <w:rFonts w:ascii="Arial" w:hAnsi="Arial" w:cs="Arial"/>
          <w:sz w:val="24"/>
          <w:szCs w:val="24"/>
        </w:rPr>
        <w:t>given the right circumstances.</w:t>
      </w:r>
      <w:r w:rsidR="002E1559" w:rsidRPr="00424846">
        <w:rPr>
          <w:rFonts w:ascii="Arial" w:hAnsi="Arial" w:cs="Arial"/>
          <w:sz w:val="24"/>
          <w:szCs w:val="24"/>
        </w:rPr>
        <w:t xml:space="preserve"> </w:t>
      </w:r>
    </w:p>
    <w:p w14:paraId="4E3147A1" w14:textId="7BD09A8D" w:rsidR="003F5997" w:rsidRPr="00424846" w:rsidRDefault="00101037" w:rsidP="00862139">
      <w:pPr>
        <w:spacing w:line="480" w:lineRule="auto"/>
        <w:jc w:val="both"/>
        <w:rPr>
          <w:rFonts w:ascii="Arial" w:hAnsi="Arial" w:cs="Arial"/>
          <w:sz w:val="24"/>
          <w:szCs w:val="24"/>
        </w:rPr>
      </w:pPr>
      <w:r w:rsidRPr="00424846">
        <w:rPr>
          <w:rFonts w:ascii="Arial" w:hAnsi="Arial" w:cs="Arial"/>
          <w:sz w:val="24"/>
          <w:szCs w:val="24"/>
        </w:rPr>
        <w:t>Moreover, b</w:t>
      </w:r>
      <w:r w:rsidR="002E1559" w:rsidRPr="00424846">
        <w:rPr>
          <w:rFonts w:ascii="Arial" w:hAnsi="Arial" w:cs="Arial"/>
          <w:sz w:val="24"/>
          <w:szCs w:val="24"/>
        </w:rPr>
        <w:t>ased on Hare’s 2 Level Morality</w:t>
      </w:r>
      <w:r w:rsidRPr="00424846">
        <w:rPr>
          <w:rFonts w:ascii="Arial" w:hAnsi="Arial" w:cs="Arial"/>
          <w:sz w:val="24"/>
          <w:szCs w:val="24"/>
        </w:rPr>
        <w:t xml:space="preserve"> theory</w:t>
      </w:r>
      <w:r w:rsidR="00292BA8" w:rsidRPr="00424846">
        <w:rPr>
          <w:rStyle w:val="FootnoteReference"/>
          <w:rFonts w:ascii="Arial" w:hAnsi="Arial" w:cs="Arial"/>
          <w:sz w:val="24"/>
          <w:szCs w:val="24"/>
        </w:rPr>
        <w:footnoteReference w:id="123"/>
      </w:r>
      <w:r w:rsidR="002E1559" w:rsidRPr="00424846">
        <w:rPr>
          <w:rFonts w:ascii="Arial" w:hAnsi="Arial" w:cs="Arial"/>
          <w:sz w:val="24"/>
          <w:szCs w:val="24"/>
        </w:rPr>
        <w:t xml:space="preserve">, Buckler </w:t>
      </w:r>
      <w:r w:rsidRPr="00424846">
        <w:rPr>
          <w:rFonts w:ascii="Arial" w:hAnsi="Arial" w:cs="Arial"/>
          <w:sz w:val="24"/>
          <w:szCs w:val="24"/>
        </w:rPr>
        <w:t>argues</w:t>
      </w:r>
      <w:r w:rsidR="002E1559" w:rsidRPr="00424846">
        <w:rPr>
          <w:rFonts w:ascii="Arial" w:hAnsi="Arial" w:cs="Arial"/>
          <w:sz w:val="24"/>
          <w:szCs w:val="24"/>
        </w:rPr>
        <w:t xml:space="preserve"> that there needs to be a distinction between public and private morality</w:t>
      </w:r>
      <w:r w:rsidR="00555ABC" w:rsidRPr="00424846">
        <w:rPr>
          <w:rFonts w:ascii="Arial" w:hAnsi="Arial" w:cs="Arial"/>
          <w:sz w:val="24"/>
          <w:szCs w:val="24"/>
        </w:rPr>
        <w:t>. P</w:t>
      </w:r>
      <w:r w:rsidR="002E1559" w:rsidRPr="00424846">
        <w:rPr>
          <w:rFonts w:ascii="Arial" w:hAnsi="Arial" w:cs="Arial"/>
          <w:sz w:val="24"/>
          <w:szCs w:val="24"/>
        </w:rPr>
        <w:t>rivate morality should never justify torture in any circumstances, but, public morality should allow torture for the sake of public safety. Therefore, the sates ability to torture, based on public morality, should not derogate private morality’s stance against torture</w:t>
      </w:r>
      <w:r w:rsidR="00292BA8" w:rsidRPr="00424846">
        <w:rPr>
          <w:rStyle w:val="FootnoteReference"/>
          <w:rFonts w:ascii="Arial" w:hAnsi="Arial" w:cs="Arial"/>
          <w:sz w:val="24"/>
          <w:szCs w:val="24"/>
        </w:rPr>
        <w:footnoteReference w:id="124"/>
      </w:r>
      <w:r w:rsidR="002E1559" w:rsidRPr="00424846">
        <w:rPr>
          <w:rFonts w:ascii="Arial" w:hAnsi="Arial" w:cs="Arial"/>
          <w:sz w:val="24"/>
          <w:szCs w:val="24"/>
        </w:rPr>
        <w:t xml:space="preserve">. Both can co-exist separately without contradicting each other. </w:t>
      </w:r>
      <w:proofErr w:type="gramStart"/>
      <w:r w:rsidR="003F5997" w:rsidRPr="00424846">
        <w:rPr>
          <w:rFonts w:ascii="Arial" w:hAnsi="Arial" w:cs="Arial"/>
          <w:sz w:val="24"/>
          <w:szCs w:val="24"/>
        </w:rPr>
        <w:t>That being said, he</w:t>
      </w:r>
      <w:proofErr w:type="gramEnd"/>
      <w:r w:rsidR="00292BA8" w:rsidRPr="00424846">
        <w:rPr>
          <w:rFonts w:ascii="Arial" w:hAnsi="Arial" w:cs="Arial"/>
          <w:sz w:val="24"/>
          <w:szCs w:val="24"/>
        </w:rPr>
        <w:t xml:space="preserve"> </w:t>
      </w:r>
      <w:r w:rsidR="003F5997" w:rsidRPr="00424846">
        <w:rPr>
          <w:rFonts w:ascii="Arial" w:hAnsi="Arial" w:cs="Arial"/>
          <w:sz w:val="24"/>
          <w:szCs w:val="24"/>
        </w:rPr>
        <w:t xml:space="preserve">diverts away from </w:t>
      </w:r>
      <w:r w:rsidR="00D64FA9" w:rsidRPr="00424846">
        <w:rPr>
          <w:rFonts w:ascii="Arial" w:hAnsi="Arial" w:cs="Arial"/>
          <w:sz w:val="24"/>
          <w:szCs w:val="24"/>
        </w:rPr>
        <w:t xml:space="preserve">traditional </w:t>
      </w:r>
      <w:r w:rsidR="003F5997" w:rsidRPr="00424846">
        <w:rPr>
          <w:rFonts w:ascii="Arial" w:hAnsi="Arial" w:cs="Arial"/>
          <w:sz w:val="24"/>
          <w:szCs w:val="24"/>
        </w:rPr>
        <w:t>u</w:t>
      </w:r>
      <w:r w:rsidR="00292BA8" w:rsidRPr="00424846">
        <w:rPr>
          <w:rFonts w:ascii="Arial" w:hAnsi="Arial" w:cs="Arial"/>
          <w:sz w:val="24"/>
          <w:szCs w:val="24"/>
        </w:rPr>
        <w:t>tilitarian</w:t>
      </w:r>
      <w:r w:rsidR="00D64FA9" w:rsidRPr="00424846">
        <w:rPr>
          <w:rFonts w:ascii="Arial" w:hAnsi="Arial" w:cs="Arial"/>
          <w:sz w:val="24"/>
          <w:szCs w:val="24"/>
        </w:rPr>
        <w:t>ism</w:t>
      </w:r>
      <w:r w:rsidR="003F5997" w:rsidRPr="00424846">
        <w:rPr>
          <w:rFonts w:ascii="Arial" w:hAnsi="Arial" w:cs="Arial"/>
          <w:sz w:val="24"/>
          <w:szCs w:val="24"/>
        </w:rPr>
        <w:t>,</w:t>
      </w:r>
      <w:r w:rsidR="00292BA8" w:rsidRPr="00424846">
        <w:rPr>
          <w:rFonts w:ascii="Arial" w:hAnsi="Arial" w:cs="Arial"/>
          <w:sz w:val="24"/>
          <w:szCs w:val="24"/>
        </w:rPr>
        <w:t xml:space="preserve"> by</w:t>
      </w:r>
      <w:r w:rsidR="002E1559" w:rsidRPr="00424846">
        <w:rPr>
          <w:rFonts w:ascii="Arial" w:hAnsi="Arial" w:cs="Arial"/>
          <w:sz w:val="24"/>
          <w:szCs w:val="24"/>
        </w:rPr>
        <w:t xml:space="preserve"> agr</w:t>
      </w:r>
      <w:r w:rsidR="00292BA8" w:rsidRPr="00424846">
        <w:rPr>
          <w:rFonts w:ascii="Arial" w:hAnsi="Arial" w:cs="Arial"/>
          <w:sz w:val="24"/>
          <w:szCs w:val="24"/>
        </w:rPr>
        <w:t>eeing</w:t>
      </w:r>
      <w:r w:rsidR="003F5997" w:rsidRPr="00424846">
        <w:rPr>
          <w:rFonts w:ascii="Arial" w:hAnsi="Arial" w:cs="Arial"/>
          <w:sz w:val="24"/>
          <w:szCs w:val="24"/>
        </w:rPr>
        <w:t xml:space="preserve"> that</w:t>
      </w:r>
      <w:r w:rsidR="00D64FA9" w:rsidRPr="00424846">
        <w:rPr>
          <w:rFonts w:ascii="Arial" w:hAnsi="Arial" w:cs="Arial"/>
          <w:sz w:val="24"/>
          <w:szCs w:val="24"/>
        </w:rPr>
        <w:t xml:space="preserve">, at times, </w:t>
      </w:r>
      <w:r w:rsidR="002E1559" w:rsidRPr="00424846">
        <w:rPr>
          <w:rFonts w:ascii="Arial" w:hAnsi="Arial" w:cs="Arial"/>
          <w:sz w:val="24"/>
          <w:szCs w:val="24"/>
        </w:rPr>
        <w:t xml:space="preserve">limits </w:t>
      </w:r>
      <w:r w:rsidR="003F5997" w:rsidRPr="00424846">
        <w:rPr>
          <w:rFonts w:ascii="Arial" w:hAnsi="Arial" w:cs="Arial"/>
          <w:sz w:val="24"/>
          <w:szCs w:val="24"/>
        </w:rPr>
        <w:t xml:space="preserve">should </w:t>
      </w:r>
      <w:r w:rsidR="002E1559" w:rsidRPr="00424846">
        <w:rPr>
          <w:rFonts w:ascii="Arial" w:hAnsi="Arial" w:cs="Arial"/>
          <w:sz w:val="24"/>
          <w:szCs w:val="24"/>
        </w:rPr>
        <w:t xml:space="preserve">be placed on public </w:t>
      </w:r>
      <w:r w:rsidR="002E1559" w:rsidRPr="00424846">
        <w:rPr>
          <w:rFonts w:ascii="Arial" w:hAnsi="Arial" w:cs="Arial"/>
          <w:sz w:val="24"/>
          <w:szCs w:val="24"/>
        </w:rPr>
        <w:lastRenderedPageBreak/>
        <w:t>morality</w:t>
      </w:r>
      <w:r w:rsidR="003F5997" w:rsidRPr="00424846">
        <w:rPr>
          <w:rFonts w:ascii="Arial" w:hAnsi="Arial" w:cs="Arial"/>
          <w:sz w:val="24"/>
          <w:szCs w:val="24"/>
        </w:rPr>
        <w:t xml:space="preserve">, </w:t>
      </w:r>
      <w:r w:rsidR="00292BA8" w:rsidRPr="00424846">
        <w:rPr>
          <w:rFonts w:ascii="Arial" w:hAnsi="Arial" w:cs="Arial"/>
          <w:sz w:val="24"/>
          <w:szCs w:val="24"/>
        </w:rPr>
        <w:t>regardless of the benefit</w:t>
      </w:r>
      <w:r w:rsidR="00B42EB0" w:rsidRPr="00424846">
        <w:rPr>
          <w:rFonts w:ascii="Arial" w:hAnsi="Arial" w:cs="Arial"/>
          <w:sz w:val="24"/>
          <w:szCs w:val="24"/>
        </w:rPr>
        <w:t>s</w:t>
      </w:r>
      <w:r w:rsidR="00292BA8" w:rsidRPr="00424846">
        <w:rPr>
          <w:rFonts w:ascii="Arial" w:hAnsi="Arial" w:cs="Arial"/>
          <w:sz w:val="24"/>
          <w:szCs w:val="24"/>
        </w:rPr>
        <w:t xml:space="preserve"> </w:t>
      </w:r>
      <w:r w:rsidR="00D64FA9" w:rsidRPr="00424846">
        <w:rPr>
          <w:rFonts w:ascii="Arial" w:hAnsi="Arial" w:cs="Arial"/>
          <w:sz w:val="24"/>
          <w:szCs w:val="24"/>
        </w:rPr>
        <w:t xml:space="preserve">limitless law </w:t>
      </w:r>
      <w:r w:rsidR="00292BA8" w:rsidRPr="00424846">
        <w:rPr>
          <w:rFonts w:ascii="Arial" w:hAnsi="Arial" w:cs="Arial"/>
          <w:sz w:val="24"/>
          <w:szCs w:val="24"/>
        </w:rPr>
        <w:t xml:space="preserve">would have </w:t>
      </w:r>
      <w:r w:rsidR="00D64FA9" w:rsidRPr="00424846">
        <w:rPr>
          <w:rFonts w:ascii="Arial" w:hAnsi="Arial" w:cs="Arial"/>
          <w:sz w:val="24"/>
          <w:szCs w:val="24"/>
        </w:rPr>
        <w:t>for</w:t>
      </w:r>
      <w:r w:rsidR="00292BA8" w:rsidRPr="00424846">
        <w:rPr>
          <w:rFonts w:ascii="Arial" w:hAnsi="Arial" w:cs="Arial"/>
          <w:sz w:val="24"/>
          <w:szCs w:val="24"/>
        </w:rPr>
        <w:t xml:space="preserve"> the collective</w:t>
      </w:r>
      <w:r w:rsidR="00BE153D" w:rsidRPr="00424846">
        <w:rPr>
          <w:rFonts w:ascii="Arial" w:hAnsi="Arial" w:cs="Arial"/>
          <w:sz w:val="24"/>
          <w:szCs w:val="24"/>
        </w:rPr>
        <w:t xml:space="preserve"> in TBS’s</w:t>
      </w:r>
      <w:r w:rsidR="00292BA8" w:rsidRPr="00424846">
        <w:rPr>
          <w:rStyle w:val="FootnoteReference"/>
          <w:rFonts w:ascii="Arial" w:hAnsi="Arial" w:cs="Arial"/>
          <w:sz w:val="24"/>
          <w:szCs w:val="24"/>
        </w:rPr>
        <w:footnoteReference w:id="125"/>
      </w:r>
      <w:r w:rsidR="00292BA8" w:rsidRPr="00424846">
        <w:rPr>
          <w:rFonts w:ascii="Arial" w:hAnsi="Arial" w:cs="Arial"/>
          <w:sz w:val="24"/>
          <w:szCs w:val="24"/>
        </w:rPr>
        <w:t xml:space="preserve">. </w:t>
      </w:r>
    </w:p>
    <w:p w14:paraId="0FFAF01F" w14:textId="0513A592" w:rsidR="00966D5A" w:rsidRPr="00424846" w:rsidRDefault="00292BA8" w:rsidP="00862139">
      <w:pPr>
        <w:spacing w:line="480" w:lineRule="auto"/>
        <w:jc w:val="both"/>
        <w:rPr>
          <w:rFonts w:ascii="Arial" w:hAnsi="Arial" w:cs="Arial"/>
          <w:sz w:val="24"/>
          <w:szCs w:val="24"/>
        </w:rPr>
      </w:pPr>
      <w:r w:rsidRPr="00424846">
        <w:rPr>
          <w:rFonts w:ascii="Arial" w:hAnsi="Arial" w:cs="Arial"/>
          <w:sz w:val="24"/>
          <w:szCs w:val="24"/>
        </w:rPr>
        <w:t xml:space="preserve">This is interesting as it diverts from the general view of </w:t>
      </w:r>
      <w:r w:rsidR="00C75A6A" w:rsidRPr="00424846">
        <w:rPr>
          <w:rFonts w:ascii="Arial" w:hAnsi="Arial" w:cs="Arial"/>
          <w:sz w:val="24"/>
          <w:szCs w:val="24"/>
        </w:rPr>
        <w:t>m</w:t>
      </w:r>
      <w:r w:rsidRPr="00424846">
        <w:rPr>
          <w:rFonts w:ascii="Arial" w:hAnsi="Arial" w:cs="Arial"/>
          <w:sz w:val="24"/>
          <w:szCs w:val="24"/>
        </w:rPr>
        <w:t>orality, where torture is wrong, replacing it with a more complicated ‘Two-Tier’ perspective o</w:t>
      </w:r>
      <w:r w:rsidR="00C75A6A" w:rsidRPr="00424846">
        <w:rPr>
          <w:rFonts w:ascii="Arial" w:hAnsi="Arial" w:cs="Arial"/>
          <w:sz w:val="24"/>
          <w:szCs w:val="24"/>
        </w:rPr>
        <w:t>f</w:t>
      </w:r>
      <w:r w:rsidRPr="00424846">
        <w:rPr>
          <w:rFonts w:ascii="Arial" w:hAnsi="Arial" w:cs="Arial"/>
          <w:sz w:val="24"/>
          <w:szCs w:val="24"/>
        </w:rPr>
        <w:t xml:space="preserve"> </w:t>
      </w:r>
      <w:r w:rsidR="00730A6E" w:rsidRPr="00424846">
        <w:rPr>
          <w:rFonts w:ascii="Arial" w:hAnsi="Arial" w:cs="Arial"/>
          <w:sz w:val="24"/>
          <w:szCs w:val="24"/>
        </w:rPr>
        <w:t>m</w:t>
      </w:r>
      <w:r w:rsidRPr="00424846">
        <w:rPr>
          <w:rFonts w:ascii="Arial" w:hAnsi="Arial" w:cs="Arial"/>
          <w:sz w:val="24"/>
          <w:szCs w:val="24"/>
        </w:rPr>
        <w:t>orality, where certain things are either right or wrong based on circumstances, who is acting (the state or individual) and what the consequences are</w:t>
      </w:r>
      <w:r w:rsidR="00966D5A" w:rsidRPr="00424846">
        <w:rPr>
          <w:rFonts w:ascii="Arial" w:hAnsi="Arial" w:cs="Arial"/>
          <w:sz w:val="24"/>
          <w:szCs w:val="24"/>
        </w:rPr>
        <w:t>, all whilst appreciating that the act</w:t>
      </w:r>
      <w:r w:rsidR="00C75A6A" w:rsidRPr="00424846">
        <w:rPr>
          <w:rFonts w:ascii="Arial" w:hAnsi="Arial" w:cs="Arial"/>
          <w:sz w:val="24"/>
          <w:szCs w:val="24"/>
        </w:rPr>
        <w:t xml:space="preserve">, </w:t>
      </w:r>
      <w:r w:rsidR="00966D5A" w:rsidRPr="00424846">
        <w:rPr>
          <w:rFonts w:ascii="Arial" w:hAnsi="Arial" w:cs="Arial"/>
          <w:sz w:val="24"/>
          <w:szCs w:val="24"/>
        </w:rPr>
        <w:t>in isolation</w:t>
      </w:r>
      <w:r w:rsidR="00C75A6A" w:rsidRPr="00424846">
        <w:rPr>
          <w:rFonts w:ascii="Arial" w:hAnsi="Arial" w:cs="Arial"/>
          <w:sz w:val="24"/>
          <w:szCs w:val="24"/>
        </w:rPr>
        <w:t xml:space="preserve">, </w:t>
      </w:r>
      <w:r w:rsidR="00966D5A" w:rsidRPr="00424846">
        <w:rPr>
          <w:rFonts w:ascii="Arial" w:hAnsi="Arial" w:cs="Arial"/>
          <w:sz w:val="24"/>
          <w:szCs w:val="24"/>
        </w:rPr>
        <w:t>would be wrong, but</w:t>
      </w:r>
      <w:r w:rsidR="00F934A2" w:rsidRPr="00424846">
        <w:rPr>
          <w:rFonts w:ascii="Arial" w:hAnsi="Arial" w:cs="Arial"/>
          <w:sz w:val="24"/>
          <w:szCs w:val="24"/>
        </w:rPr>
        <w:t xml:space="preserve">, </w:t>
      </w:r>
      <w:r w:rsidR="00966D5A" w:rsidRPr="00424846">
        <w:rPr>
          <w:rFonts w:ascii="Arial" w:hAnsi="Arial" w:cs="Arial"/>
          <w:sz w:val="24"/>
          <w:szCs w:val="24"/>
        </w:rPr>
        <w:t xml:space="preserve">is excusable in </w:t>
      </w:r>
      <w:r w:rsidR="00F934A2" w:rsidRPr="00424846">
        <w:rPr>
          <w:rFonts w:ascii="Arial" w:hAnsi="Arial" w:cs="Arial"/>
          <w:sz w:val="24"/>
          <w:szCs w:val="24"/>
        </w:rPr>
        <w:t>TBS</w:t>
      </w:r>
      <w:r w:rsidRPr="00424846">
        <w:rPr>
          <w:rFonts w:ascii="Arial" w:hAnsi="Arial" w:cs="Arial"/>
          <w:sz w:val="24"/>
          <w:szCs w:val="24"/>
        </w:rPr>
        <w:t xml:space="preserve">. </w:t>
      </w:r>
      <w:r w:rsidR="00966D5A" w:rsidRPr="00424846">
        <w:rPr>
          <w:rFonts w:ascii="Arial" w:hAnsi="Arial" w:cs="Arial"/>
          <w:sz w:val="24"/>
          <w:szCs w:val="24"/>
        </w:rPr>
        <w:t xml:space="preserve">Based on this understanding, the </w:t>
      </w:r>
      <w:r w:rsidR="00940150" w:rsidRPr="00424846">
        <w:rPr>
          <w:rFonts w:ascii="Arial" w:hAnsi="Arial" w:cs="Arial"/>
          <w:sz w:val="24"/>
          <w:szCs w:val="24"/>
        </w:rPr>
        <w:t>exceptions found</w:t>
      </w:r>
      <w:r w:rsidR="00966D5A" w:rsidRPr="00424846">
        <w:rPr>
          <w:rFonts w:ascii="Arial" w:hAnsi="Arial" w:cs="Arial"/>
          <w:sz w:val="24"/>
          <w:szCs w:val="24"/>
        </w:rPr>
        <w:t xml:space="preserve"> in s134 </w:t>
      </w:r>
      <w:r w:rsidR="00F934A2" w:rsidRPr="00424846">
        <w:rPr>
          <w:rFonts w:ascii="Arial" w:hAnsi="Arial" w:cs="Arial"/>
          <w:sz w:val="24"/>
          <w:szCs w:val="24"/>
        </w:rPr>
        <w:t>and Art1.1</w:t>
      </w:r>
      <w:r w:rsidR="00966D5A" w:rsidRPr="00424846">
        <w:rPr>
          <w:rFonts w:ascii="Arial" w:hAnsi="Arial" w:cs="Arial"/>
          <w:sz w:val="24"/>
          <w:szCs w:val="24"/>
        </w:rPr>
        <w:t xml:space="preserve"> is understandable, even </w:t>
      </w:r>
      <w:r w:rsidR="00F934A2" w:rsidRPr="00424846">
        <w:rPr>
          <w:rFonts w:ascii="Arial" w:hAnsi="Arial" w:cs="Arial"/>
          <w:sz w:val="24"/>
          <w:szCs w:val="24"/>
        </w:rPr>
        <w:t xml:space="preserve">if </w:t>
      </w:r>
      <w:r w:rsidR="00966D5A" w:rsidRPr="00424846">
        <w:rPr>
          <w:rFonts w:ascii="Arial" w:hAnsi="Arial" w:cs="Arial"/>
          <w:sz w:val="24"/>
          <w:szCs w:val="24"/>
        </w:rPr>
        <w:t xml:space="preserve">this is not their stance. </w:t>
      </w:r>
    </w:p>
    <w:p w14:paraId="1F54152E" w14:textId="0BC07AC6" w:rsidR="002E1559" w:rsidRPr="00424846" w:rsidRDefault="00966D5A" w:rsidP="00862139">
      <w:pPr>
        <w:spacing w:line="480" w:lineRule="auto"/>
        <w:jc w:val="both"/>
        <w:rPr>
          <w:rFonts w:ascii="Arial" w:hAnsi="Arial" w:cs="Arial"/>
          <w:sz w:val="24"/>
          <w:szCs w:val="24"/>
        </w:rPr>
      </w:pPr>
      <w:r w:rsidRPr="00424846">
        <w:rPr>
          <w:rFonts w:ascii="Arial" w:hAnsi="Arial" w:cs="Arial"/>
          <w:sz w:val="24"/>
          <w:szCs w:val="24"/>
        </w:rPr>
        <w:t xml:space="preserve">Hare’s Two Level Morality </w:t>
      </w:r>
      <w:r w:rsidR="00940150" w:rsidRPr="00424846">
        <w:rPr>
          <w:rFonts w:ascii="Arial" w:hAnsi="Arial" w:cs="Arial"/>
          <w:sz w:val="24"/>
          <w:szCs w:val="24"/>
        </w:rPr>
        <w:t>and Walzer</w:t>
      </w:r>
      <w:r w:rsidR="00506822" w:rsidRPr="00424846">
        <w:rPr>
          <w:rFonts w:ascii="Arial" w:hAnsi="Arial" w:cs="Arial"/>
          <w:sz w:val="24"/>
          <w:szCs w:val="24"/>
        </w:rPr>
        <w:t>’s perspective are</w:t>
      </w:r>
      <w:r w:rsidRPr="00424846">
        <w:rPr>
          <w:rFonts w:ascii="Arial" w:hAnsi="Arial" w:cs="Arial"/>
          <w:sz w:val="24"/>
          <w:szCs w:val="24"/>
        </w:rPr>
        <w:t xml:space="preserve"> sophisticated model</w:t>
      </w:r>
      <w:r w:rsidR="00506822" w:rsidRPr="00424846">
        <w:rPr>
          <w:rFonts w:ascii="Arial" w:hAnsi="Arial" w:cs="Arial"/>
          <w:sz w:val="24"/>
          <w:szCs w:val="24"/>
        </w:rPr>
        <w:t>s</w:t>
      </w:r>
      <w:r w:rsidRPr="00424846">
        <w:rPr>
          <w:rFonts w:ascii="Arial" w:hAnsi="Arial" w:cs="Arial"/>
          <w:sz w:val="24"/>
          <w:szCs w:val="24"/>
        </w:rPr>
        <w:t xml:space="preserve">, that, frankly, </w:t>
      </w:r>
      <w:r w:rsidR="00506822" w:rsidRPr="00424846">
        <w:rPr>
          <w:rFonts w:ascii="Arial" w:hAnsi="Arial" w:cs="Arial"/>
          <w:sz w:val="24"/>
          <w:szCs w:val="24"/>
        </w:rPr>
        <w:t>is</w:t>
      </w:r>
      <w:r w:rsidRPr="00424846">
        <w:rPr>
          <w:rFonts w:ascii="Arial" w:hAnsi="Arial" w:cs="Arial"/>
          <w:sz w:val="24"/>
          <w:szCs w:val="24"/>
        </w:rPr>
        <w:t xml:space="preserve"> easier to digest than</w:t>
      </w:r>
      <w:r w:rsidR="00506822" w:rsidRPr="00424846">
        <w:rPr>
          <w:rFonts w:ascii="Arial" w:hAnsi="Arial" w:cs="Arial"/>
          <w:sz w:val="24"/>
          <w:szCs w:val="24"/>
        </w:rPr>
        <w:t xml:space="preserve"> other perspectives, like, </w:t>
      </w:r>
      <w:r w:rsidRPr="00424846">
        <w:rPr>
          <w:rFonts w:ascii="Arial" w:hAnsi="Arial" w:cs="Arial"/>
          <w:sz w:val="24"/>
          <w:szCs w:val="24"/>
        </w:rPr>
        <w:t>P</w:t>
      </w:r>
      <w:r w:rsidR="00870F21" w:rsidRPr="00424846">
        <w:rPr>
          <w:rFonts w:ascii="Arial" w:hAnsi="Arial" w:cs="Arial"/>
          <w:sz w:val="24"/>
          <w:szCs w:val="24"/>
        </w:rPr>
        <w:t>arry</w:t>
      </w:r>
      <w:r w:rsidRPr="00424846">
        <w:rPr>
          <w:rFonts w:ascii="Arial" w:hAnsi="Arial" w:cs="Arial"/>
          <w:sz w:val="24"/>
          <w:szCs w:val="24"/>
        </w:rPr>
        <w:t xml:space="preserve">’s view that </w:t>
      </w:r>
      <w:r w:rsidR="00506822" w:rsidRPr="00424846">
        <w:rPr>
          <w:rFonts w:ascii="Arial" w:hAnsi="Arial" w:cs="Arial"/>
          <w:sz w:val="24"/>
          <w:szCs w:val="24"/>
        </w:rPr>
        <w:t>t</w:t>
      </w:r>
      <w:r w:rsidRPr="00424846">
        <w:rPr>
          <w:rFonts w:ascii="Arial" w:hAnsi="Arial" w:cs="Arial"/>
          <w:sz w:val="24"/>
          <w:szCs w:val="24"/>
        </w:rPr>
        <w:t>orture is</w:t>
      </w:r>
      <w:r w:rsidR="00186EB3" w:rsidRPr="00424846">
        <w:rPr>
          <w:rFonts w:ascii="Arial" w:hAnsi="Arial" w:cs="Arial"/>
          <w:sz w:val="24"/>
          <w:szCs w:val="24"/>
        </w:rPr>
        <w:t xml:space="preserve">, </w:t>
      </w:r>
      <w:r w:rsidRPr="00424846">
        <w:rPr>
          <w:rFonts w:ascii="Arial" w:hAnsi="Arial" w:cs="Arial"/>
          <w:sz w:val="24"/>
          <w:szCs w:val="24"/>
        </w:rPr>
        <w:t>not just excusable</w:t>
      </w:r>
      <w:r w:rsidR="00186EB3" w:rsidRPr="00424846">
        <w:rPr>
          <w:rFonts w:ascii="Arial" w:hAnsi="Arial" w:cs="Arial"/>
          <w:sz w:val="24"/>
          <w:szCs w:val="24"/>
        </w:rPr>
        <w:t xml:space="preserve">, </w:t>
      </w:r>
      <w:r w:rsidRPr="00424846">
        <w:rPr>
          <w:rFonts w:ascii="Arial" w:hAnsi="Arial" w:cs="Arial"/>
          <w:sz w:val="24"/>
          <w:szCs w:val="24"/>
        </w:rPr>
        <w:t>but justifiable</w:t>
      </w:r>
      <w:r w:rsidR="00870F21" w:rsidRPr="00424846">
        <w:rPr>
          <w:rStyle w:val="FootnoteReference"/>
          <w:rFonts w:ascii="Arial" w:hAnsi="Arial" w:cs="Arial"/>
          <w:sz w:val="24"/>
          <w:szCs w:val="24"/>
        </w:rPr>
        <w:footnoteReference w:id="126"/>
      </w:r>
      <w:r w:rsidR="00926794" w:rsidRPr="00424846">
        <w:rPr>
          <w:rFonts w:ascii="Arial" w:hAnsi="Arial" w:cs="Arial"/>
          <w:sz w:val="24"/>
          <w:szCs w:val="24"/>
        </w:rPr>
        <w:t>, or Hobbs and Kant’s Social contract approach, wh</w:t>
      </w:r>
      <w:r w:rsidR="00186EB3" w:rsidRPr="00424846">
        <w:rPr>
          <w:rFonts w:ascii="Arial" w:hAnsi="Arial" w:cs="Arial"/>
          <w:sz w:val="24"/>
          <w:szCs w:val="24"/>
        </w:rPr>
        <w:t>ere</w:t>
      </w:r>
      <w:r w:rsidR="00926794" w:rsidRPr="00424846">
        <w:rPr>
          <w:rFonts w:ascii="Arial" w:hAnsi="Arial" w:cs="Arial"/>
          <w:sz w:val="24"/>
          <w:szCs w:val="24"/>
        </w:rPr>
        <w:t xml:space="preserve"> leaders have ‘ultimate authority and the </w:t>
      </w:r>
      <w:r w:rsidR="00506822" w:rsidRPr="00424846">
        <w:rPr>
          <w:rFonts w:ascii="Arial" w:hAnsi="Arial" w:cs="Arial"/>
          <w:sz w:val="24"/>
          <w:szCs w:val="24"/>
        </w:rPr>
        <w:t>citizenry</w:t>
      </w:r>
      <w:r w:rsidR="00926794" w:rsidRPr="00424846">
        <w:rPr>
          <w:rFonts w:ascii="Arial" w:hAnsi="Arial" w:cs="Arial"/>
          <w:sz w:val="24"/>
          <w:szCs w:val="24"/>
        </w:rPr>
        <w:t xml:space="preserve"> not right to oppose it’ leading to a very dictatorial state</w:t>
      </w:r>
      <w:r w:rsidR="00186EB3" w:rsidRPr="00424846">
        <w:rPr>
          <w:rStyle w:val="FootnoteReference"/>
          <w:rFonts w:ascii="Arial" w:hAnsi="Arial" w:cs="Arial"/>
          <w:sz w:val="24"/>
          <w:szCs w:val="24"/>
        </w:rPr>
        <w:footnoteReference w:id="127"/>
      </w:r>
      <w:r w:rsidR="00926794" w:rsidRPr="00424846">
        <w:rPr>
          <w:rFonts w:ascii="Arial" w:hAnsi="Arial" w:cs="Arial"/>
          <w:sz w:val="24"/>
          <w:szCs w:val="24"/>
        </w:rPr>
        <w:t xml:space="preserve">, </w:t>
      </w:r>
      <w:r w:rsidRPr="00424846">
        <w:rPr>
          <w:rFonts w:ascii="Arial" w:hAnsi="Arial" w:cs="Arial"/>
          <w:sz w:val="24"/>
          <w:szCs w:val="24"/>
        </w:rPr>
        <w:t xml:space="preserve">or the Utilitarian approach that </w:t>
      </w:r>
      <w:r w:rsidR="00186EB3" w:rsidRPr="00424846">
        <w:rPr>
          <w:rFonts w:ascii="Arial" w:hAnsi="Arial" w:cs="Arial"/>
          <w:sz w:val="24"/>
          <w:szCs w:val="24"/>
        </w:rPr>
        <w:t>would allow the</w:t>
      </w:r>
      <w:r w:rsidRPr="00424846">
        <w:rPr>
          <w:rFonts w:ascii="Arial" w:hAnsi="Arial" w:cs="Arial"/>
          <w:sz w:val="24"/>
          <w:szCs w:val="24"/>
        </w:rPr>
        <w:t xml:space="preserve"> </w:t>
      </w:r>
      <w:r w:rsidR="00186EB3" w:rsidRPr="00424846">
        <w:rPr>
          <w:rFonts w:ascii="Arial" w:hAnsi="Arial" w:cs="Arial"/>
          <w:sz w:val="24"/>
          <w:szCs w:val="24"/>
        </w:rPr>
        <w:t>torture of</w:t>
      </w:r>
      <w:r w:rsidRPr="00424846">
        <w:rPr>
          <w:rFonts w:ascii="Arial" w:hAnsi="Arial" w:cs="Arial"/>
          <w:sz w:val="24"/>
          <w:szCs w:val="24"/>
        </w:rPr>
        <w:t xml:space="preserve"> innocent </w:t>
      </w:r>
      <w:r w:rsidR="00186EB3" w:rsidRPr="00424846">
        <w:rPr>
          <w:rFonts w:ascii="Arial" w:hAnsi="Arial" w:cs="Arial"/>
          <w:sz w:val="24"/>
          <w:szCs w:val="24"/>
        </w:rPr>
        <w:t>people for the collective</w:t>
      </w:r>
      <w:r w:rsidR="00922DB6" w:rsidRPr="00424846">
        <w:rPr>
          <w:rFonts w:ascii="Arial" w:hAnsi="Arial" w:cs="Arial"/>
          <w:sz w:val="24"/>
          <w:szCs w:val="24"/>
        </w:rPr>
        <w:t>’</w:t>
      </w:r>
      <w:r w:rsidR="00186EB3" w:rsidRPr="00424846">
        <w:rPr>
          <w:rFonts w:ascii="Arial" w:hAnsi="Arial" w:cs="Arial"/>
          <w:sz w:val="24"/>
          <w:szCs w:val="24"/>
        </w:rPr>
        <w:t>s benefit</w:t>
      </w:r>
      <w:r w:rsidR="00940150" w:rsidRPr="00424846">
        <w:rPr>
          <w:rStyle w:val="FootnoteReference"/>
          <w:rFonts w:ascii="Arial" w:hAnsi="Arial" w:cs="Arial"/>
          <w:sz w:val="24"/>
          <w:szCs w:val="24"/>
        </w:rPr>
        <w:footnoteReference w:id="128"/>
      </w:r>
      <w:r w:rsidR="00186EB3" w:rsidRPr="00424846">
        <w:rPr>
          <w:rFonts w:ascii="Arial" w:hAnsi="Arial" w:cs="Arial"/>
          <w:sz w:val="24"/>
          <w:szCs w:val="24"/>
        </w:rPr>
        <w:t xml:space="preserve">, which based </w:t>
      </w:r>
      <w:r w:rsidR="00940150" w:rsidRPr="00424846">
        <w:rPr>
          <w:rFonts w:ascii="Arial" w:hAnsi="Arial" w:cs="Arial"/>
          <w:sz w:val="24"/>
          <w:szCs w:val="24"/>
        </w:rPr>
        <w:t xml:space="preserve">on </w:t>
      </w:r>
      <w:r w:rsidR="00926794" w:rsidRPr="00424846">
        <w:rPr>
          <w:rFonts w:ascii="Arial" w:hAnsi="Arial" w:cs="Arial"/>
          <w:sz w:val="24"/>
          <w:szCs w:val="24"/>
        </w:rPr>
        <w:t>th</w:t>
      </w:r>
      <w:r w:rsidR="00186EB3" w:rsidRPr="00424846">
        <w:rPr>
          <w:rFonts w:ascii="Arial" w:hAnsi="Arial" w:cs="Arial"/>
          <w:sz w:val="24"/>
          <w:szCs w:val="24"/>
        </w:rPr>
        <w:t>is</w:t>
      </w:r>
      <w:r w:rsidR="00940150" w:rsidRPr="00424846">
        <w:rPr>
          <w:rFonts w:ascii="Arial" w:hAnsi="Arial" w:cs="Arial"/>
          <w:sz w:val="24"/>
          <w:szCs w:val="24"/>
        </w:rPr>
        <w:t xml:space="preserve">, </w:t>
      </w:r>
      <w:r w:rsidRPr="00424846">
        <w:rPr>
          <w:rFonts w:ascii="Arial" w:hAnsi="Arial" w:cs="Arial"/>
          <w:sz w:val="24"/>
          <w:szCs w:val="24"/>
        </w:rPr>
        <w:t>justif</w:t>
      </w:r>
      <w:r w:rsidR="007C6B68" w:rsidRPr="00424846">
        <w:rPr>
          <w:rFonts w:ascii="Arial" w:hAnsi="Arial" w:cs="Arial"/>
          <w:sz w:val="24"/>
          <w:szCs w:val="24"/>
        </w:rPr>
        <w:t>ies</w:t>
      </w:r>
      <w:r w:rsidRPr="00424846">
        <w:rPr>
          <w:rFonts w:ascii="Arial" w:hAnsi="Arial" w:cs="Arial"/>
          <w:sz w:val="24"/>
          <w:szCs w:val="24"/>
        </w:rPr>
        <w:t xml:space="preserve"> the slippery slope argument</w:t>
      </w:r>
      <w:r w:rsidR="00926794" w:rsidRPr="00424846">
        <w:rPr>
          <w:rFonts w:ascii="Arial" w:hAnsi="Arial" w:cs="Arial"/>
          <w:sz w:val="24"/>
          <w:szCs w:val="24"/>
        </w:rPr>
        <w:t xml:space="preserve">. </w:t>
      </w:r>
    </w:p>
    <w:p w14:paraId="535AD1EE" w14:textId="08AF5BAB" w:rsidR="00506822" w:rsidRPr="00424846" w:rsidRDefault="00950CFA" w:rsidP="00862139">
      <w:pPr>
        <w:spacing w:line="480" w:lineRule="auto"/>
        <w:jc w:val="both"/>
        <w:rPr>
          <w:rFonts w:ascii="Arial" w:hAnsi="Arial" w:cs="Arial"/>
          <w:sz w:val="24"/>
          <w:szCs w:val="24"/>
        </w:rPr>
      </w:pPr>
      <w:r w:rsidRPr="00424846">
        <w:rPr>
          <w:rFonts w:ascii="Arial" w:hAnsi="Arial" w:cs="Arial"/>
          <w:sz w:val="24"/>
          <w:szCs w:val="24"/>
        </w:rPr>
        <w:t>Kemnitzer</w:t>
      </w:r>
      <w:r w:rsidR="00506822" w:rsidRPr="00424846">
        <w:rPr>
          <w:rFonts w:ascii="Arial" w:hAnsi="Arial" w:cs="Arial"/>
          <w:sz w:val="24"/>
          <w:szCs w:val="24"/>
        </w:rPr>
        <w:t xml:space="preserve"> and Segev oppose Hare’s </w:t>
      </w:r>
      <w:r w:rsidR="002931FA" w:rsidRPr="00424846">
        <w:rPr>
          <w:rFonts w:ascii="Arial" w:hAnsi="Arial" w:cs="Arial"/>
          <w:sz w:val="24"/>
          <w:szCs w:val="24"/>
        </w:rPr>
        <w:t>theory</w:t>
      </w:r>
      <w:r w:rsidR="00506822" w:rsidRPr="00424846">
        <w:rPr>
          <w:rFonts w:ascii="Arial" w:hAnsi="Arial" w:cs="Arial"/>
          <w:sz w:val="24"/>
          <w:szCs w:val="24"/>
        </w:rPr>
        <w:t>, arguing that</w:t>
      </w:r>
      <w:r w:rsidR="003D2A1D" w:rsidRPr="00424846">
        <w:rPr>
          <w:rFonts w:ascii="Arial" w:hAnsi="Arial" w:cs="Arial"/>
          <w:sz w:val="24"/>
          <w:szCs w:val="24"/>
        </w:rPr>
        <w:t xml:space="preserve">, </w:t>
      </w:r>
      <w:r w:rsidR="00506822" w:rsidRPr="00424846">
        <w:rPr>
          <w:rFonts w:ascii="Arial" w:hAnsi="Arial" w:cs="Arial"/>
          <w:sz w:val="24"/>
          <w:szCs w:val="24"/>
        </w:rPr>
        <w:t xml:space="preserve">a distinct </w:t>
      </w:r>
      <w:r w:rsidR="003D2A1D" w:rsidRPr="00424846">
        <w:rPr>
          <w:rFonts w:ascii="Arial" w:hAnsi="Arial" w:cs="Arial"/>
          <w:sz w:val="24"/>
          <w:szCs w:val="24"/>
        </w:rPr>
        <w:t xml:space="preserve">difference needs to be </w:t>
      </w:r>
      <w:r w:rsidR="00633494" w:rsidRPr="00424846">
        <w:rPr>
          <w:rFonts w:ascii="Arial" w:hAnsi="Arial" w:cs="Arial"/>
          <w:sz w:val="24"/>
          <w:szCs w:val="24"/>
        </w:rPr>
        <w:t>made</w:t>
      </w:r>
      <w:r w:rsidR="003D2A1D" w:rsidRPr="00424846">
        <w:rPr>
          <w:rFonts w:ascii="Arial" w:hAnsi="Arial" w:cs="Arial"/>
          <w:sz w:val="24"/>
          <w:szCs w:val="24"/>
        </w:rPr>
        <w:t xml:space="preserve"> </w:t>
      </w:r>
      <w:r w:rsidR="00506822" w:rsidRPr="00424846">
        <w:rPr>
          <w:rFonts w:ascii="Arial" w:hAnsi="Arial" w:cs="Arial"/>
          <w:sz w:val="24"/>
          <w:szCs w:val="24"/>
        </w:rPr>
        <w:t xml:space="preserve">between </w:t>
      </w:r>
      <w:r w:rsidR="003D2A1D" w:rsidRPr="00424846">
        <w:rPr>
          <w:rFonts w:ascii="Arial" w:hAnsi="Arial" w:cs="Arial"/>
          <w:sz w:val="24"/>
          <w:szCs w:val="24"/>
        </w:rPr>
        <w:t>the</w:t>
      </w:r>
      <w:r w:rsidR="00506822" w:rsidRPr="00424846">
        <w:rPr>
          <w:rFonts w:ascii="Arial" w:hAnsi="Arial" w:cs="Arial"/>
          <w:sz w:val="24"/>
          <w:szCs w:val="24"/>
        </w:rPr>
        <w:t xml:space="preserve"> individual facing an </w:t>
      </w:r>
      <w:r w:rsidR="00633494" w:rsidRPr="00424846">
        <w:rPr>
          <w:rFonts w:ascii="Arial" w:hAnsi="Arial" w:cs="Arial"/>
          <w:sz w:val="24"/>
          <w:szCs w:val="24"/>
        </w:rPr>
        <w:t>unanticipated</w:t>
      </w:r>
      <w:r w:rsidR="00506822" w:rsidRPr="00424846">
        <w:rPr>
          <w:rFonts w:ascii="Arial" w:hAnsi="Arial" w:cs="Arial"/>
          <w:sz w:val="24"/>
          <w:szCs w:val="24"/>
        </w:rPr>
        <w:t xml:space="preserve"> emergency</w:t>
      </w:r>
      <w:r w:rsidR="003D2A1D" w:rsidRPr="00424846">
        <w:rPr>
          <w:rFonts w:ascii="Arial" w:hAnsi="Arial" w:cs="Arial"/>
          <w:sz w:val="24"/>
          <w:szCs w:val="24"/>
        </w:rPr>
        <w:t>,</w:t>
      </w:r>
      <w:r w:rsidR="00506822" w:rsidRPr="00424846">
        <w:rPr>
          <w:rFonts w:ascii="Arial" w:hAnsi="Arial" w:cs="Arial"/>
          <w:sz w:val="24"/>
          <w:szCs w:val="24"/>
        </w:rPr>
        <w:t xml:space="preserve"> that cause</w:t>
      </w:r>
      <w:r w:rsidR="00633494" w:rsidRPr="00424846">
        <w:rPr>
          <w:rFonts w:ascii="Arial" w:hAnsi="Arial" w:cs="Arial"/>
          <w:sz w:val="24"/>
          <w:szCs w:val="24"/>
        </w:rPr>
        <w:t>s</w:t>
      </w:r>
      <w:r w:rsidR="00506822" w:rsidRPr="00424846">
        <w:rPr>
          <w:rFonts w:ascii="Arial" w:hAnsi="Arial" w:cs="Arial"/>
          <w:sz w:val="24"/>
          <w:szCs w:val="24"/>
        </w:rPr>
        <w:t xml:space="preserve"> them to, justifiably, take actions that may be morally wrong to protect themselves from a threat they never expected</w:t>
      </w:r>
      <w:r w:rsidR="00633494" w:rsidRPr="00424846">
        <w:rPr>
          <w:rFonts w:ascii="Arial" w:hAnsi="Arial" w:cs="Arial"/>
          <w:sz w:val="24"/>
          <w:szCs w:val="24"/>
        </w:rPr>
        <w:t xml:space="preserve">, </w:t>
      </w:r>
      <w:r w:rsidR="00463CAD" w:rsidRPr="00424846">
        <w:rPr>
          <w:rFonts w:ascii="Arial" w:hAnsi="Arial" w:cs="Arial"/>
          <w:sz w:val="24"/>
          <w:szCs w:val="24"/>
        </w:rPr>
        <w:t>nor</w:t>
      </w:r>
      <w:r w:rsidR="00633494" w:rsidRPr="00424846">
        <w:rPr>
          <w:rFonts w:ascii="Arial" w:hAnsi="Arial" w:cs="Arial"/>
          <w:sz w:val="24"/>
          <w:szCs w:val="24"/>
        </w:rPr>
        <w:t xml:space="preserve">, </w:t>
      </w:r>
      <w:r w:rsidR="00506822" w:rsidRPr="00424846">
        <w:rPr>
          <w:rFonts w:ascii="Arial" w:hAnsi="Arial" w:cs="Arial"/>
          <w:sz w:val="24"/>
          <w:szCs w:val="24"/>
        </w:rPr>
        <w:t>are equipped to deal with</w:t>
      </w:r>
      <w:r w:rsidR="003D2A1D" w:rsidRPr="00424846">
        <w:rPr>
          <w:rFonts w:ascii="Arial" w:hAnsi="Arial" w:cs="Arial"/>
          <w:sz w:val="24"/>
          <w:szCs w:val="24"/>
        </w:rPr>
        <w:t xml:space="preserve">, and </w:t>
      </w:r>
      <w:r w:rsidR="004B5006" w:rsidRPr="00424846">
        <w:rPr>
          <w:rFonts w:ascii="Arial" w:hAnsi="Arial" w:cs="Arial"/>
          <w:sz w:val="24"/>
          <w:szCs w:val="24"/>
        </w:rPr>
        <w:t xml:space="preserve"> the</w:t>
      </w:r>
      <w:r w:rsidR="00665FC2" w:rsidRPr="00424846">
        <w:rPr>
          <w:rFonts w:ascii="Arial" w:hAnsi="Arial" w:cs="Arial"/>
          <w:sz w:val="24"/>
          <w:szCs w:val="24"/>
        </w:rPr>
        <w:t xml:space="preserve"> state</w:t>
      </w:r>
      <w:r w:rsidR="003D2A1D" w:rsidRPr="00424846">
        <w:rPr>
          <w:rFonts w:ascii="Arial" w:hAnsi="Arial" w:cs="Arial"/>
          <w:sz w:val="24"/>
          <w:szCs w:val="24"/>
        </w:rPr>
        <w:t xml:space="preserve"> </w:t>
      </w:r>
      <w:r w:rsidR="004B5006" w:rsidRPr="00424846">
        <w:rPr>
          <w:rFonts w:ascii="Arial" w:hAnsi="Arial" w:cs="Arial"/>
          <w:sz w:val="24"/>
          <w:szCs w:val="24"/>
        </w:rPr>
        <w:t>hav</w:t>
      </w:r>
      <w:r w:rsidR="003D2A1D" w:rsidRPr="00424846">
        <w:rPr>
          <w:rFonts w:ascii="Arial" w:hAnsi="Arial" w:cs="Arial"/>
          <w:sz w:val="24"/>
          <w:szCs w:val="24"/>
        </w:rPr>
        <w:t>ing</w:t>
      </w:r>
      <w:r w:rsidR="004B5006" w:rsidRPr="00424846">
        <w:rPr>
          <w:rFonts w:ascii="Arial" w:hAnsi="Arial" w:cs="Arial"/>
          <w:sz w:val="24"/>
          <w:szCs w:val="24"/>
        </w:rPr>
        <w:t xml:space="preserve"> the </w:t>
      </w:r>
      <w:r w:rsidR="00572917" w:rsidRPr="00424846">
        <w:rPr>
          <w:rFonts w:ascii="Arial" w:hAnsi="Arial" w:cs="Arial"/>
          <w:sz w:val="24"/>
          <w:szCs w:val="24"/>
        </w:rPr>
        <w:t xml:space="preserve">expertise, personnel and </w:t>
      </w:r>
      <w:r w:rsidR="003D2A1D" w:rsidRPr="00424846">
        <w:rPr>
          <w:rFonts w:ascii="Arial" w:hAnsi="Arial" w:cs="Arial"/>
          <w:sz w:val="24"/>
          <w:szCs w:val="24"/>
        </w:rPr>
        <w:t>equipment</w:t>
      </w:r>
      <w:r w:rsidR="00572917" w:rsidRPr="00424846">
        <w:rPr>
          <w:rStyle w:val="FootnoteReference"/>
          <w:rFonts w:ascii="Arial" w:hAnsi="Arial" w:cs="Arial"/>
          <w:sz w:val="24"/>
          <w:szCs w:val="24"/>
        </w:rPr>
        <w:footnoteReference w:id="129"/>
      </w:r>
      <w:r w:rsidR="00572917" w:rsidRPr="00424846">
        <w:rPr>
          <w:rFonts w:ascii="Arial" w:hAnsi="Arial" w:cs="Arial"/>
          <w:sz w:val="24"/>
          <w:szCs w:val="24"/>
        </w:rPr>
        <w:t xml:space="preserve"> to </w:t>
      </w:r>
      <w:r w:rsidR="00665FC2" w:rsidRPr="00424846">
        <w:rPr>
          <w:rFonts w:ascii="Arial" w:hAnsi="Arial" w:cs="Arial"/>
          <w:sz w:val="24"/>
          <w:szCs w:val="24"/>
        </w:rPr>
        <w:t xml:space="preserve">handling a threat </w:t>
      </w:r>
      <w:r w:rsidR="00572917" w:rsidRPr="00424846">
        <w:rPr>
          <w:rFonts w:ascii="Arial" w:hAnsi="Arial" w:cs="Arial"/>
          <w:sz w:val="24"/>
          <w:szCs w:val="24"/>
        </w:rPr>
        <w:t>of this magnitude</w:t>
      </w:r>
      <w:r w:rsidR="00633494" w:rsidRPr="00424846">
        <w:rPr>
          <w:rFonts w:ascii="Arial" w:hAnsi="Arial" w:cs="Arial"/>
          <w:sz w:val="24"/>
          <w:szCs w:val="24"/>
        </w:rPr>
        <w:t xml:space="preserve">, </w:t>
      </w:r>
      <w:r w:rsidR="00633494" w:rsidRPr="00424846">
        <w:rPr>
          <w:rFonts w:ascii="Arial" w:hAnsi="Arial" w:cs="Arial"/>
          <w:sz w:val="24"/>
          <w:szCs w:val="24"/>
        </w:rPr>
        <w:lastRenderedPageBreak/>
        <w:t xml:space="preserve">therefore, </w:t>
      </w:r>
      <w:r w:rsidR="00DF7964" w:rsidRPr="00424846">
        <w:rPr>
          <w:rFonts w:ascii="Arial" w:hAnsi="Arial" w:cs="Arial"/>
          <w:sz w:val="24"/>
          <w:szCs w:val="24"/>
        </w:rPr>
        <w:t xml:space="preserve">should </w:t>
      </w:r>
      <w:r w:rsidR="00463CAD" w:rsidRPr="00424846">
        <w:rPr>
          <w:rFonts w:ascii="Arial" w:hAnsi="Arial" w:cs="Arial"/>
          <w:sz w:val="24"/>
          <w:szCs w:val="24"/>
        </w:rPr>
        <w:t xml:space="preserve">not be in a position where they are ill-prepared and need to take </w:t>
      </w:r>
      <w:r w:rsidR="00B42EB0" w:rsidRPr="00424846">
        <w:rPr>
          <w:rFonts w:ascii="Arial" w:hAnsi="Arial" w:cs="Arial"/>
          <w:sz w:val="24"/>
          <w:szCs w:val="24"/>
        </w:rPr>
        <w:t xml:space="preserve">unreliable and </w:t>
      </w:r>
      <w:r w:rsidR="00463CAD" w:rsidRPr="00424846">
        <w:rPr>
          <w:rFonts w:ascii="Arial" w:hAnsi="Arial" w:cs="Arial"/>
          <w:sz w:val="24"/>
          <w:szCs w:val="24"/>
        </w:rPr>
        <w:t>extreme course</w:t>
      </w:r>
      <w:r w:rsidR="00B42EB0" w:rsidRPr="00424846">
        <w:rPr>
          <w:rFonts w:ascii="Arial" w:hAnsi="Arial" w:cs="Arial"/>
          <w:sz w:val="24"/>
          <w:szCs w:val="24"/>
        </w:rPr>
        <w:t>s</w:t>
      </w:r>
      <w:r w:rsidR="00463CAD" w:rsidRPr="00424846">
        <w:rPr>
          <w:rFonts w:ascii="Arial" w:hAnsi="Arial" w:cs="Arial"/>
          <w:sz w:val="24"/>
          <w:szCs w:val="24"/>
        </w:rPr>
        <w:t xml:space="preserve"> of action t</w:t>
      </w:r>
      <w:r w:rsidR="003D2A1D" w:rsidRPr="00424846">
        <w:rPr>
          <w:rFonts w:ascii="Arial" w:hAnsi="Arial" w:cs="Arial"/>
          <w:sz w:val="24"/>
          <w:szCs w:val="24"/>
        </w:rPr>
        <w:t>o fulfil their</w:t>
      </w:r>
      <w:r w:rsidR="00463CAD" w:rsidRPr="00424846">
        <w:rPr>
          <w:rFonts w:ascii="Arial" w:hAnsi="Arial" w:cs="Arial"/>
          <w:sz w:val="24"/>
          <w:szCs w:val="24"/>
        </w:rPr>
        <w:t xml:space="preserve"> duty to protect the public. </w:t>
      </w:r>
      <w:r w:rsidR="00676618" w:rsidRPr="00424846">
        <w:rPr>
          <w:rFonts w:ascii="Arial" w:hAnsi="Arial" w:cs="Arial"/>
          <w:sz w:val="24"/>
          <w:szCs w:val="24"/>
        </w:rPr>
        <w:t>Kemnitzer</w:t>
      </w:r>
      <w:r w:rsidR="00633494" w:rsidRPr="00424846">
        <w:rPr>
          <w:rFonts w:ascii="Arial" w:hAnsi="Arial" w:cs="Arial"/>
          <w:sz w:val="24"/>
          <w:szCs w:val="24"/>
        </w:rPr>
        <w:t xml:space="preserve"> </w:t>
      </w:r>
      <w:r w:rsidR="00DF7964" w:rsidRPr="00424846">
        <w:rPr>
          <w:rFonts w:ascii="Arial" w:hAnsi="Arial" w:cs="Arial"/>
          <w:sz w:val="24"/>
          <w:szCs w:val="24"/>
        </w:rPr>
        <w:t xml:space="preserve">referred to </w:t>
      </w:r>
      <w:r w:rsidR="00633494" w:rsidRPr="00424846">
        <w:rPr>
          <w:rFonts w:ascii="Arial" w:hAnsi="Arial" w:cs="Arial"/>
          <w:sz w:val="24"/>
          <w:szCs w:val="24"/>
        </w:rPr>
        <w:t>this</w:t>
      </w:r>
      <w:r w:rsidR="00B42EB0" w:rsidRPr="00424846">
        <w:rPr>
          <w:rFonts w:ascii="Arial" w:hAnsi="Arial" w:cs="Arial"/>
          <w:sz w:val="24"/>
          <w:szCs w:val="24"/>
        </w:rPr>
        <w:t xml:space="preserve">, </w:t>
      </w:r>
      <w:r w:rsidR="00633494" w:rsidRPr="00424846">
        <w:rPr>
          <w:rFonts w:ascii="Arial" w:hAnsi="Arial" w:cs="Arial"/>
          <w:sz w:val="24"/>
          <w:szCs w:val="24"/>
        </w:rPr>
        <w:t xml:space="preserve">attempt to justify state torture on bad preparation, </w:t>
      </w:r>
      <w:r w:rsidR="00DF7964" w:rsidRPr="00424846">
        <w:rPr>
          <w:rFonts w:ascii="Arial" w:hAnsi="Arial" w:cs="Arial"/>
          <w:sz w:val="24"/>
          <w:szCs w:val="24"/>
        </w:rPr>
        <w:t>as the Institutionalization trap</w:t>
      </w:r>
      <w:r w:rsidR="00633494" w:rsidRPr="00424846">
        <w:rPr>
          <w:rFonts w:ascii="Arial" w:hAnsi="Arial" w:cs="Arial"/>
          <w:sz w:val="24"/>
          <w:szCs w:val="24"/>
        </w:rPr>
        <w:t xml:space="preserve">. </w:t>
      </w:r>
      <w:r w:rsidR="00DF7964" w:rsidRPr="00424846">
        <w:rPr>
          <w:rFonts w:ascii="Arial" w:hAnsi="Arial" w:cs="Arial"/>
          <w:sz w:val="24"/>
          <w:szCs w:val="24"/>
        </w:rPr>
        <w:t xml:space="preserve">Kemnitzer </w:t>
      </w:r>
      <w:r w:rsidR="00676618" w:rsidRPr="00424846">
        <w:rPr>
          <w:rFonts w:ascii="Arial" w:hAnsi="Arial" w:cs="Arial"/>
          <w:sz w:val="24"/>
          <w:szCs w:val="24"/>
        </w:rPr>
        <w:t xml:space="preserve">further </w:t>
      </w:r>
      <w:r w:rsidR="00633494" w:rsidRPr="00424846">
        <w:rPr>
          <w:rFonts w:ascii="Arial" w:hAnsi="Arial" w:cs="Arial"/>
          <w:sz w:val="24"/>
          <w:szCs w:val="24"/>
        </w:rPr>
        <w:t>adds</w:t>
      </w:r>
      <w:r w:rsidR="00DF7964" w:rsidRPr="00424846">
        <w:rPr>
          <w:rFonts w:ascii="Arial" w:hAnsi="Arial" w:cs="Arial"/>
          <w:sz w:val="24"/>
          <w:szCs w:val="24"/>
        </w:rPr>
        <w:t xml:space="preserve"> that </w:t>
      </w:r>
      <w:r w:rsidR="00463CAD" w:rsidRPr="00424846">
        <w:rPr>
          <w:rFonts w:ascii="Arial" w:hAnsi="Arial" w:cs="Arial"/>
          <w:sz w:val="24"/>
          <w:szCs w:val="24"/>
        </w:rPr>
        <w:t xml:space="preserve">state departments should be fully equipped and prepared </w:t>
      </w:r>
      <w:r w:rsidR="005F3A25" w:rsidRPr="00424846">
        <w:rPr>
          <w:rFonts w:ascii="Arial" w:hAnsi="Arial" w:cs="Arial"/>
          <w:sz w:val="24"/>
          <w:szCs w:val="24"/>
        </w:rPr>
        <w:t>to spring into action</w:t>
      </w:r>
      <w:r w:rsidR="00FF37B8" w:rsidRPr="00424846">
        <w:rPr>
          <w:rFonts w:ascii="Arial" w:hAnsi="Arial" w:cs="Arial"/>
          <w:sz w:val="24"/>
          <w:szCs w:val="24"/>
        </w:rPr>
        <w:t>,</w:t>
      </w:r>
      <w:r w:rsidRPr="00424846">
        <w:rPr>
          <w:rFonts w:ascii="Arial" w:hAnsi="Arial" w:cs="Arial"/>
          <w:sz w:val="24"/>
          <w:szCs w:val="24"/>
        </w:rPr>
        <w:t xml:space="preserve"> using the</w:t>
      </w:r>
      <w:r w:rsidR="00FF37B8" w:rsidRPr="00424846">
        <w:rPr>
          <w:rFonts w:ascii="Arial" w:hAnsi="Arial" w:cs="Arial"/>
          <w:sz w:val="24"/>
          <w:szCs w:val="24"/>
        </w:rPr>
        <w:t xml:space="preserve"> training and resources they </w:t>
      </w:r>
      <w:r w:rsidRPr="00424846">
        <w:rPr>
          <w:rFonts w:ascii="Arial" w:hAnsi="Arial" w:cs="Arial"/>
          <w:sz w:val="24"/>
          <w:szCs w:val="24"/>
        </w:rPr>
        <w:t>have</w:t>
      </w:r>
      <w:r w:rsidR="005F3A25" w:rsidRPr="00424846">
        <w:rPr>
          <w:rFonts w:ascii="Arial" w:hAnsi="Arial" w:cs="Arial"/>
          <w:sz w:val="24"/>
          <w:szCs w:val="24"/>
        </w:rPr>
        <w:t xml:space="preserve">, to prevent </w:t>
      </w:r>
      <w:r w:rsidR="00676618" w:rsidRPr="00424846">
        <w:rPr>
          <w:rFonts w:ascii="Arial" w:hAnsi="Arial" w:cs="Arial"/>
          <w:sz w:val="24"/>
          <w:szCs w:val="24"/>
        </w:rPr>
        <w:t>the death of hundreds</w:t>
      </w:r>
      <w:r w:rsidR="00323E9C" w:rsidRPr="00424846">
        <w:rPr>
          <w:rFonts w:ascii="Arial" w:hAnsi="Arial" w:cs="Arial"/>
          <w:sz w:val="24"/>
          <w:szCs w:val="24"/>
        </w:rPr>
        <w:t xml:space="preserve">, </w:t>
      </w:r>
      <w:r w:rsidR="00676618" w:rsidRPr="00424846">
        <w:rPr>
          <w:rFonts w:ascii="Arial" w:hAnsi="Arial" w:cs="Arial"/>
          <w:sz w:val="24"/>
          <w:szCs w:val="24"/>
        </w:rPr>
        <w:t>using a method that has been proven to be reliable</w:t>
      </w:r>
      <w:r w:rsidR="00323E9C" w:rsidRPr="00424846">
        <w:rPr>
          <w:rFonts w:ascii="Arial" w:hAnsi="Arial" w:cs="Arial"/>
          <w:sz w:val="24"/>
          <w:szCs w:val="24"/>
        </w:rPr>
        <w:t xml:space="preserve"> and accurate. </w:t>
      </w:r>
    </w:p>
    <w:p w14:paraId="1FBD52C1" w14:textId="7CADEAD6" w:rsidR="00247AEF" w:rsidRPr="00424846" w:rsidRDefault="00476240" w:rsidP="00862139">
      <w:pPr>
        <w:spacing w:line="480" w:lineRule="auto"/>
        <w:jc w:val="both"/>
        <w:rPr>
          <w:rFonts w:ascii="Arial" w:hAnsi="Arial" w:cs="Arial"/>
          <w:sz w:val="24"/>
          <w:szCs w:val="24"/>
        </w:rPr>
      </w:pPr>
      <w:r w:rsidRPr="00424846">
        <w:rPr>
          <w:rFonts w:ascii="Arial" w:hAnsi="Arial" w:cs="Arial"/>
          <w:sz w:val="24"/>
          <w:szCs w:val="24"/>
        </w:rPr>
        <w:t>The TBS can be criticised for excluding all other ‘non-torture’ methods that could achieve the same result, making the reader resort to the worst means of obtaining evidence</w:t>
      </w:r>
      <w:r w:rsidR="00715284" w:rsidRPr="00424846">
        <w:rPr>
          <w:rFonts w:ascii="Arial" w:hAnsi="Arial" w:cs="Arial"/>
          <w:sz w:val="24"/>
          <w:szCs w:val="24"/>
        </w:rPr>
        <w:t xml:space="preserve"> </w:t>
      </w:r>
      <w:r w:rsidRPr="00424846">
        <w:rPr>
          <w:rFonts w:ascii="Arial" w:hAnsi="Arial" w:cs="Arial"/>
          <w:sz w:val="24"/>
          <w:szCs w:val="24"/>
        </w:rPr>
        <w:t>when there are easier</w:t>
      </w:r>
      <w:r w:rsidR="00C47C5A" w:rsidRPr="00424846">
        <w:rPr>
          <w:rFonts w:ascii="Arial" w:hAnsi="Arial" w:cs="Arial"/>
          <w:sz w:val="24"/>
          <w:szCs w:val="24"/>
        </w:rPr>
        <w:t>, more effective and less abhorrent methods</w:t>
      </w:r>
      <w:r w:rsidR="00715284" w:rsidRPr="00424846">
        <w:rPr>
          <w:rFonts w:ascii="Arial" w:hAnsi="Arial" w:cs="Arial"/>
          <w:sz w:val="24"/>
          <w:szCs w:val="24"/>
        </w:rPr>
        <w:t xml:space="preserve"> available</w:t>
      </w:r>
      <w:r w:rsidR="00937289" w:rsidRPr="00424846">
        <w:rPr>
          <w:rStyle w:val="FootnoteReference"/>
          <w:rFonts w:ascii="Arial" w:hAnsi="Arial" w:cs="Arial"/>
          <w:sz w:val="24"/>
          <w:szCs w:val="24"/>
        </w:rPr>
        <w:footnoteReference w:id="130"/>
      </w:r>
      <w:r w:rsidR="00C47C5A" w:rsidRPr="00424846">
        <w:rPr>
          <w:rFonts w:ascii="Arial" w:hAnsi="Arial" w:cs="Arial"/>
          <w:sz w:val="24"/>
          <w:szCs w:val="24"/>
        </w:rPr>
        <w:t xml:space="preserve">. </w:t>
      </w:r>
      <w:r w:rsidRPr="00424846">
        <w:rPr>
          <w:rFonts w:ascii="Arial" w:hAnsi="Arial" w:cs="Arial"/>
          <w:sz w:val="24"/>
          <w:szCs w:val="24"/>
        </w:rPr>
        <w:t xml:space="preserve"> </w:t>
      </w:r>
      <w:r w:rsidR="004860BF" w:rsidRPr="00424846">
        <w:rPr>
          <w:rFonts w:ascii="Arial" w:hAnsi="Arial" w:cs="Arial"/>
          <w:sz w:val="24"/>
          <w:szCs w:val="24"/>
        </w:rPr>
        <w:t xml:space="preserve">According to the research cited in Ginbar’s book, </w:t>
      </w:r>
      <w:r w:rsidR="004860BF" w:rsidRPr="00424846">
        <w:rPr>
          <w:rFonts w:ascii="Arial" w:hAnsi="Arial" w:cs="Arial"/>
          <w:i/>
          <w:iCs/>
          <w:sz w:val="24"/>
          <w:szCs w:val="24"/>
        </w:rPr>
        <w:t>Why Not Torture Terrorist’s</w:t>
      </w:r>
      <w:r w:rsidR="004860BF" w:rsidRPr="00424846">
        <w:rPr>
          <w:rFonts w:ascii="Arial" w:hAnsi="Arial" w:cs="Arial"/>
          <w:sz w:val="24"/>
          <w:szCs w:val="24"/>
        </w:rPr>
        <w:t xml:space="preserve">, most non-violent interrogation techniques are effective and have proven themselves to </w:t>
      </w:r>
      <w:r w:rsidR="00E5061D" w:rsidRPr="00424846">
        <w:rPr>
          <w:rFonts w:ascii="Arial" w:hAnsi="Arial" w:cs="Arial"/>
          <w:sz w:val="24"/>
          <w:szCs w:val="24"/>
        </w:rPr>
        <w:t>produce accurate information</w:t>
      </w:r>
      <w:r w:rsidR="00E5061D" w:rsidRPr="00424846">
        <w:rPr>
          <w:rStyle w:val="FootnoteReference"/>
          <w:rFonts w:ascii="Arial" w:hAnsi="Arial" w:cs="Arial"/>
          <w:sz w:val="24"/>
          <w:szCs w:val="24"/>
        </w:rPr>
        <w:footnoteReference w:id="131"/>
      </w:r>
      <w:r w:rsidR="00E5061D" w:rsidRPr="00424846">
        <w:rPr>
          <w:rFonts w:ascii="Arial" w:hAnsi="Arial" w:cs="Arial"/>
          <w:sz w:val="24"/>
          <w:szCs w:val="24"/>
        </w:rPr>
        <w:t>. An example, of this can be seen in the February 2002 incident where a bus driver stopped an attack from a man with explosives attached to him, attempting to kill everyone in the bus, by pushing the suicide bomber out of the bus</w:t>
      </w:r>
      <w:r w:rsidR="00715284" w:rsidRPr="00424846">
        <w:rPr>
          <w:rStyle w:val="FootnoteReference"/>
          <w:rFonts w:ascii="Arial" w:hAnsi="Arial" w:cs="Arial"/>
          <w:sz w:val="24"/>
          <w:szCs w:val="24"/>
        </w:rPr>
        <w:footnoteReference w:id="132"/>
      </w:r>
      <w:r w:rsidR="00E5061D" w:rsidRPr="00424846">
        <w:rPr>
          <w:rFonts w:ascii="Arial" w:hAnsi="Arial" w:cs="Arial"/>
          <w:sz w:val="24"/>
          <w:szCs w:val="24"/>
        </w:rPr>
        <w:t xml:space="preserve">. Albeit, this </w:t>
      </w:r>
      <w:r w:rsidR="00715284" w:rsidRPr="00424846">
        <w:rPr>
          <w:rFonts w:ascii="Arial" w:hAnsi="Arial" w:cs="Arial"/>
          <w:sz w:val="24"/>
          <w:szCs w:val="24"/>
        </w:rPr>
        <w:t xml:space="preserve">incident </w:t>
      </w:r>
      <w:r w:rsidR="00E5061D" w:rsidRPr="00424846">
        <w:rPr>
          <w:rFonts w:ascii="Arial" w:hAnsi="Arial" w:cs="Arial"/>
          <w:sz w:val="24"/>
          <w:szCs w:val="24"/>
        </w:rPr>
        <w:t xml:space="preserve">does not accurately reflect the TBS, </w:t>
      </w:r>
      <w:r w:rsidR="005872A0" w:rsidRPr="00424846">
        <w:rPr>
          <w:rFonts w:ascii="Arial" w:hAnsi="Arial" w:cs="Arial"/>
          <w:sz w:val="24"/>
          <w:szCs w:val="24"/>
        </w:rPr>
        <w:t>but</w:t>
      </w:r>
      <w:r w:rsidR="00E5061D" w:rsidRPr="00424846">
        <w:rPr>
          <w:rFonts w:ascii="Arial" w:hAnsi="Arial" w:cs="Arial"/>
          <w:sz w:val="24"/>
          <w:szCs w:val="24"/>
        </w:rPr>
        <w:t xml:space="preserve"> it </w:t>
      </w:r>
      <w:r w:rsidR="00CC36AB" w:rsidRPr="00424846">
        <w:rPr>
          <w:rFonts w:ascii="Arial" w:hAnsi="Arial" w:cs="Arial"/>
          <w:sz w:val="24"/>
          <w:szCs w:val="24"/>
        </w:rPr>
        <w:t xml:space="preserve">indicates </w:t>
      </w:r>
      <w:r w:rsidR="00E5061D" w:rsidRPr="00424846">
        <w:rPr>
          <w:rFonts w:ascii="Arial" w:hAnsi="Arial" w:cs="Arial"/>
          <w:sz w:val="24"/>
          <w:szCs w:val="24"/>
        </w:rPr>
        <w:t>that there are other means to preventing mass deaths</w:t>
      </w:r>
      <w:r w:rsidR="00CC36AB" w:rsidRPr="00424846">
        <w:rPr>
          <w:rFonts w:ascii="Arial" w:hAnsi="Arial" w:cs="Arial"/>
          <w:sz w:val="24"/>
          <w:szCs w:val="24"/>
        </w:rPr>
        <w:t xml:space="preserve">, </w:t>
      </w:r>
      <w:r w:rsidR="00E5061D" w:rsidRPr="00424846">
        <w:rPr>
          <w:rFonts w:ascii="Arial" w:hAnsi="Arial" w:cs="Arial"/>
          <w:sz w:val="24"/>
          <w:szCs w:val="24"/>
        </w:rPr>
        <w:t xml:space="preserve">which could be </w:t>
      </w:r>
      <w:r w:rsidR="00CC36AB" w:rsidRPr="00424846">
        <w:rPr>
          <w:rFonts w:ascii="Arial" w:hAnsi="Arial" w:cs="Arial"/>
          <w:sz w:val="24"/>
          <w:szCs w:val="24"/>
        </w:rPr>
        <w:t>more</w:t>
      </w:r>
      <w:r w:rsidR="00E5061D" w:rsidRPr="00424846">
        <w:rPr>
          <w:rFonts w:ascii="Arial" w:hAnsi="Arial" w:cs="Arial"/>
          <w:sz w:val="24"/>
          <w:szCs w:val="24"/>
        </w:rPr>
        <w:t xml:space="preserve"> effective </w:t>
      </w:r>
      <w:r w:rsidR="00CC36AB" w:rsidRPr="00424846">
        <w:rPr>
          <w:rFonts w:ascii="Arial" w:hAnsi="Arial" w:cs="Arial"/>
          <w:sz w:val="24"/>
          <w:szCs w:val="24"/>
        </w:rPr>
        <w:t>than</w:t>
      </w:r>
      <w:r w:rsidR="00E5061D" w:rsidRPr="00424846">
        <w:rPr>
          <w:rFonts w:ascii="Arial" w:hAnsi="Arial" w:cs="Arial"/>
          <w:sz w:val="24"/>
          <w:szCs w:val="24"/>
        </w:rPr>
        <w:t xml:space="preserve"> torture. </w:t>
      </w:r>
      <w:r w:rsidR="00715284" w:rsidRPr="00424846">
        <w:rPr>
          <w:rFonts w:ascii="Arial" w:hAnsi="Arial" w:cs="Arial"/>
          <w:sz w:val="24"/>
          <w:szCs w:val="24"/>
        </w:rPr>
        <w:t xml:space="preserve">On the other hand, </w:t>
      </w:r>
      <w:r w:rsidR="007E5E60" w:rsidRPr="00424846">
        <w:rPr>
          <w:rFonts w:ascii="Arial" w:hAnsi="Arial" w:cs="Arial"/>
          <w:sz w:val="24"/>
          <w:szCs w:val="24"/>
        </w:rPr>
        <w:t>t</w:t>
      </w:r>
      <w:r w:rsidR="00E5061D" w:rsidRPr="00424846">
        <w:rPr>
          <w:rFonts w:ascii="Arial" w:hAnsi="Arial" w:cs="Arial"/>
          <w:sz w:val="24"/>
          <w:szCs w:val="24"/>
        </w:rPr>
        <w:t>his</w:t>
      </w:r>
      <w:r w:rsidR="00715284" w:rsidRPr="00424846">
        <w:rPr>
          <w:rFonts w:ascii="Arial" w:hAnsi="Arial" w:cs="Arial"/>
          <w:sz w:val="24"/>
          <w:szCs w:val="24"/>
        </w:rPr>
        <w:t xml:space="preserve"> </w:t>
      </w:r>
      <w:r w:rsidR="00E5061D" w:rsidRPr="00424846">
        <w:rPr>
          <w:rFonts w:ascii="Arial" w:hAnsi="Arial" w:cs="Arial"/>
          <w:sz w:val="24"/>
          <w:szCs w:val="24"/>
        </w:rPr>
        <w:t>is not a criticism of the TBS, as</w:t>
      </w:r>
      <w:r w:rsidR="007E5E60" w:rsidRPr="00424846">
        <w:rPr>
          <w:rFonts w:ascii="Arial" w:hAnsi="Arial" w:cs="Arial"/>
          <w:sz w:val="24"/>
          <w:szCs w:val="24"/>
        </w:rPr>
        <w:t xml:space="preserve"> torture is</w:t>
      </w:r>
      <w:r w:rsidR="00E5061D" w:rsidRPr="00424846">
        <w:rPr>
          <w:rFonts w:ascii="Arial" w:hAnsi="Arial" w:cs="Arial"/>
          <w:sz w:val="24"/>
          <w:szCs w:val="24"/>
        </w:rPr>
        <w:t xml:space="preserve"> only support</w:t>
      </w:r>
      <w:r w:rsidR="007E5E60" w:rsidRPr="00424846">
        <w:rPr>
          <w:rFonts w:ascii="Arial" w:hAnsi="Arial" w:cs="Arial"/>
          <w:sz w:val="24"/>
          <w:szCs w:val="24"/>
        </w:rPr>
        <w:t>ed</w:t>
      </w:r>
      <w:r w:rsidR="00E5061D" w:rsidRPr="00424846">
        <w:rPr>
          <w:rFonts w:ascii="Arial" w:hAnsi="Arial" w:cs="Arial"/>
          <w:sz w:val="24"/>
          <w:szCs w:val="24"/>
        </w:rPr>
        <w:t xml:space="preserve"> </w:t>
      </w:r>
      <w:r w:rsidR="00844604" w:rsidRPr="00424846">
        <w:rPr>
          <w:rFonts w:ascii="Arial" w:hAnsi="Arial" w:cs="Arial"/>
          <w:sz w:val="24"/>
          <w:szCs w:val="24"/>
        </w:rPr>
        <w:t xml:space="preserve">in this instance </w:t>
      </w:r>
      <w:r w:rsidR="007E5E60" w:rsidRPr="00424846">
        <w:rPr>
          <w:rFonts w:ascii="Arial" w:hAnsi="Arial" w:cs="Arial"/>
          <w:sz w:val="24"/>
          <w:szCs w:val="24"/>
        </w:rPr>
        <w:t>because</w:t>
      </w:r>
      <w:r w:rsidR="00E5061D" w:rsidRPr="00424846">
        <w:rPr>
          <w:rFonts w:ascii="Arial" w:hAnsi="Arial" w:cs="Arial"/>
          <w:sz w:val="24"/>
          <w:szCs w:val="24"/>
        </w:rPr>
        <w:t>, it is the only means by which information can be extracted (Larteguy condition</w:t>
      </w:r>
      <w:r w:rsidR="007E5E60" w:rsidRPr="00424846">
        <w:rPr>
          <w:rFonts w:ascii="Arial" w:hAnsi="Arial" w:cs="Arial"/>
          <w:sz w:val="24"/>
          <w:szCs w:val="24"/>
        </w:rPr>
        <w:t xml:space="preserve"> 2</w:t>
      </w:r>
      <w:r w:rsidR="00E5061D" w:rsidRPr="00424846">
        <w:rPr>
          <w:rFonts w:ascii="Arial" w:hAnsi="Arial" w:cs="Arial"/>
          <w:sz w:val="24"/>
          <w:szCs w:val="24"/>
        </w:rPr>
        <w:t>) otherwise,</w:t>
      </w:r>
      <w:r w:rsidR="007E5E60" w:rsidRPr="00424846">
        <w:rPr>
          <w:rFonts w:ascii="Arial" w:hAnsi="Arial" w:cs="Arial"/>
          <w:sz w:val="24"/>
          <w:szCs w:val="24"/>
        </w:rPr>
        <w:t xml:space="preserve"> </w:t>
      </w:r>
      <w:r w:rsidR="00387212" w:rsidRPr="00424846">
        <w:rPr>
          <w:rFonts w:ascii="Arial" w:hAnsi="Arial" w:cs="Arial"/>
          <w:sz w:val="24"/>
          <w:szCs w:val="24"/>
        </w:rPr>
        <w:t>torture</w:t>
      </w:r>
      <w:r w:rsidR="007E5E60" w:rsidRPr="00424846">
        <w:rPr>
          <w:rFonts w:ascii="Arial" w:hAnsi="Arial" w:cs="Arial"/>
          <w:sz w:val="24"/>
          <w:szCs w:val="24"/>
        </w:rPr>
        <w:t xml:space="preserve"> would be </w:t>
      </w:r>
      <w:r w:rsidR="00715284" w:rsidRPr="00424846">
        <w:rPr>
          <w:rFonts w:ascii="Arial" w:hAnsi="Arial" w:cs="Arial"/>
          <w:sz w:val="24"/>
          <w:szCs w:val="24"/>
        </w:rPr>
        <w:t>completely prohibited</w:t>
      </w:r>
      <w:r w:rsidR="00E5061D" w:rsidRPr="00424846">
        <w:rPr>
          <w:rFonts w:ascii="Arial" w:hAnsi="Arial" w:cs="Arial"/>
          <w:sz w:val="24"/>
          <w:szCs w:val="24"/>
        </w:rPr>
        <w:t>.</w:t>
      </w:r>
    </w:p>
    <w:p w14:paraId="7990962B" w14:textId="7A8BD522" w:rsidR="0020104D" w:rsidRPr="00B017D7" w:rsidRDefault="00750EA8" w:rsidP="00B017D7">
      <w:pPr>
        <w:spacing w:line="480" w:lineRule="auto"/>
        <w:jc w:val="center"/>
        <w:rPr>
          <w:rFonts w:ascii="Arial" w:hAnsi="Arial" w:cs="Arial"/>
          <w:b/>
          <w:bCs/>
          <w:sz w:val="24"/>
          <w:szCs w:val="24"/>
          <w:u w:val="single"/>
        </w:rPr>
      </w:pPr>
      <w:r w:rsidRPr="00B017D7">
        <w:rPr>
          <w:rFonts w:ascii="Arial" w:hAnsi="Arial" w:cs="Arial"/>
          <w:b/>
          <w:bCs/>
          <w:sz w:val="24"/>
          <w:szCs w:val="24"/>
          <w:u w:val="single"/>
        </w:rPr>
        <w:lastRenderedPageBreak/>
        <w:t>Slippery slope argument:</w:t>
      </w:r>
    </w:p>
    <w:p w14:paraId="4575CEA0" w14:textId="6AF238A4" w:rsidR="0047679B" w:rsidRPr="00424846" w:rsidRDefault="00750EA8" w:rsidP="00862139">
      <w:pPr>
        <w:spacing w:line="480" w:lineRule="auto"/>
        <w:jc w:val="both"/>
        <w:rPr>
          <w:rFonts w:ascii="Arial" w:hAnsi="Arial" w:cs="Arial"/>
          <w:sz w:val="24"/>
          <w:szCs w:val="24"/>
        </w:rPr>
      </w:pPr>
      <w:r w:rsidRPr="00424846">
        <w:rPr>
          <w:rFonts w:ascii="Arial" w:hAnsi="Arial" w:cs="Arial"/>
          <w:sz w:val="24"/>
          <w:szCs w:val="24"/>
        </w:rPr>
        <w:t>According to supporters of the slippery slope argument, torture should continue to remain illegal</w:t>
      </w:r>
      <w:r w:rsidR="00B24C2A" w:rsidRPr="00424846">
        <w:rPr>
          <w:rFonts w:ascii="Arial" w:hAnsi="Arial" w:cs="Arial"/>
          <w:sz w:val="24"/>
          <w:szCs w:val="24"/>
        </w:rPr>
        <w:t xml:space="preserve"> </w:t>
      </w:r>
      <w:r w:rsidRPr="00424846">
        <w:rPr>
          <w:rFonts w:ascii="Arial" w:hAnsi="Arial" w:cs="Arial"/>
          <w:sz w:val="24"/>
          <w:szCs w:val="24"/>
        </w:rPr>
        <w:t>even in TBS</w:t>
      </w:r>
      <w:r w:rsidR="00B24C2A" w:rsidRPr="00424846">
        <w:rPr>
          <w:rFonts w:ascii="Arial" w:hAnsi="Arial" w:cs="Arial"/>
          <w:sz w:val="24"/>
          <w:szCs w:val="24"/>
        </w:rPr>
        <w:t>’s</w:t>
      </w:r>
      <w:r w:rsidRPr="00424846">
        <w:rPr>
          <w:rFonts w:ascii="Arial" w:hAnsi="Arial" w:cs="Arial"/>
          <w:sz w:val="24"/>
          <w:szCs w:val="24"/>
        </w:rPr>
        <w:t>, as it will</w:t>
      </w:r>
      <w:r w:rsidR="00E9068C" w:rsidRPr="00424846">
        <w:rPr>
          <w:rFonts w:ascii="Arial" w:hAnsi="Arial" w:cs="Arial"/>
          <w:sz w:val="24"/>
          <w:szCs w:val="24"/>
        </w:rPr>
        <w:t xml:space="preserve">, </w:t>
      </w:r>
      <w:r w:rsidRPr="00424846">
        <w:rPr>
          <w:rFonts w:ascii="Arial" w:hAnsi="Arial" w:cs="Arial"/>
          <w:sz w:val="24"/>
          <w:szCs w:val="24"/>
        </w:rPr>
        <w:t>inevitably</w:t>
      </w:r>
      <w:r w:rsidR="00E9068C" w:rsidRPr="00424846">
        <w:rPr>
          <w:rFonts w:ascii="Arial" w:hAnsi="Arial" w:cs="Arial"/>
          <w:sz w:val="24"/>
          <w:szCs w:val="24"/>
        </w:rPr>
        <w:t xml:space="preserve">, </w:t>
      </w:r>
      <w:r w:rsidRPr="00424846">
        <w:rPr>
          <w:rFonts w:ascii="Arial" w:hAnsi="Arial" w:cs="Arial"/>
          <w:sz w:val="24"/>
          <w:szCs w:val="24"/>
        </w:rPr>
        <w:t xml:space="preserve">lead to </w:t>
      </w:r>
      <w:r w:rsidR="00555ABC" w:rsidRPr="00424846">
        <w:rPr>
          <w:rFonts w:ascii="Arial" w:hAnsi="Arial" w:cs="Arial"/>
          <w:sz w:val="24"/>
          <w:szCs w:val="24"/>
        </w:rPr>
        <w:t xml:space="preserve">it </w:t>
      </w:r>
      <w:r w:rsidRPr="00424846">
        <w:rPr>
          <w:rFonts w:ascii="Arial" w:hAnsi="Arial" w:cs="Arial"/>
          <w:sz w:val="24"/>
          <w:szCs w:val="24"/>
        </w:rPr>
        <w:t xml:space="preserve">being used much more widely, </w:t>
      </w:r>
      <w:r w:rsidR="00C518A2" w:rsidRPr="00424846">
        <w:rPr>
          <w:rFonts w:ascii="Arial" w:hAnsi="Arial" w:cs="Arial"/>
          <w:sz w:val="24"/>
          <w:szCs w:val="24"/>
        </w:rPr>
        <w:t>frivolously and harshly</w:t>
      </w:r>
      <w:r w:rsidR="00C518A2" w:rsidRPr="00424846">
        <w:rPr>
          <w:rStyle w:val="FootnoteReference"/>
          <w:rFonts w:ascii="Arial" w:hAnsi="Arial" w:cs="Arial"/>
          <w:sz w:val="24"/>
          <w:szCs w:val="24"/>
        </w:rPr>
        <w:footnoteReference w:id="133"/>
      </w:r>
      <w:r w:rsidRPr="00424846">
        <w:rPr>
          <w:rFonts w:ascii="Arial" w:hAnsi="Arial" w:cs="Arial"/>
          <w:sz w:val="24"/>
          <w:szCs w:val="24"/>
        </w:rPr>
        <w:t>, with no</w:t>
      </w:r>
      <w:r w:rsidR="00E9068C" w:rsidRPr="00424846">
        <w:rPr>
          <w:rFonts w:ascii="Arial" w:hAnsi="Arial" w:cs="Arial"/>
          <w:sz w:val="24"/>
          <w:szCs w:val="24"/>
        </w:rPr>
        <w:t>ne of the original</w:t>
      </w:r>
      <w:r w:rsidRPr="00424846">
        <w:rPr>
          <w:rFonts w:ascii="Arial" w:hAnsi="Arial" w:cs="Arial"/>
          <w:sz w:val="24"/>
          <w:szCs w:val="24"/>
        </w:rPr>
        <w:t xml:space="preserve"> boundaries or limits</w:t>
      </w:r>
      <w:r w:rsidR="00E9068C" w:rsidRPr="00424846">
        <w:rPr>
          <w:rFonts w:ascii="Arial" w:hAnsi="Arial" w:cs="Arial"/>
          <w:sz w:val="24"/>
          <w:szCs w:val="24"/>
        </w:rPr>
        <w:t xml:space="preserve"> </w:t>
      </w:r>
      <w:r w:rsidR="0047679B" w:rsidRPr="00424846">
        <w:rPr>
          <w:rFonts w:ascii="Arial" w:hAnsi="Arial" w:cs="Arial"/>
          <w:sz w:val="24"/>
          <w:szCs w:val="24"/>
        </w:rPr>
        <w:t>placed around it</w:t>
      </w:r>
      <w:r w:rsidR="00152113" w:rsidRPr="00424846">
        <w:rPr>
          <w:rFonts w:ascii="Arial" w:hAnsi="Arial" w:cs="Arial"/>
          <w:sz w:val="24"/>
          <w:szCs w:val="24"/>
        </w:rPr>
        <w:t xml:space="preserve">, </w:t>
      </w:r>
      <w:r w:rsidR="0047679B" w:rsidRPr="00424846">
        <w:rPr>
          <w:rFonts w:ascii="Arial" w:hAnsi="Arial" w:cs="Arial"/>
          <w:sz w:val="24"/>
          <w:szCs w:val="24"/>
        </w:rPr>
        <w:t>maintaining it</w:t>
      </w:r>
      <w:r w:rsidRPr="00424846">
        <w:rPr>
          <w:rFonts w:ascii="Arial" w:hAnsi="Arial" w:cs="Arial"/>
          <w:sz w:val="24"/>
          <w:szCs w:val="24"/>
        </w:rPr>
        <w:t xml:space="preserve">. </w:t>
      </w:r>
      <w:r w:rsidR="00A51B89" w:rsidRPr="00424846">
        <w:rPr>
          <w:rFonts w:ascii="Arial" w:hAnsi="Arial" w:cs="Arial"/>
          <w:sz w:val="24"/>
          <w:szCs w:val="24"/>
        </w:rPr>
        <w:t xml:space="preserve"> </w:t>
      </w:r>
      <w:r w:rsidR="003C68E8" w:rsidRPr="00424846">
        <w:rPr>
          <w:rFonts w:ascii="Arial" w:hAnsi="Arial" w:cs="Arial"/>
          <w:sz w:val="24"/>
          <w:szCs w:val="24"/>
        </w:rPr>
        <w:t xml:space="preserve">Sung </w:t>
      </w:r>
      <w:r w:rsidR="00A51B89" w:rsidRPr="00424846">
        <w:rPr>
          <w:rFonts w:ascii="Arial" w:hAnsi="Arial" w:cs="Arial"/>
          <w:sz w:val="24"/>
          <w:szCs w:val="24"/>
        </w:rPr>
        <w:t>asserts</w:t>
      </w:r>
      <w:r w:rsidR="003C68E8" w:rsidRPr="00424846">
        <w:rPr>
          <w:rFonts w:ascii="Arial" w:hAnsi="Arial" w:cs="Arial"/>
          <w:sz w:val="24"/>
          <w:szCs w:val="24"/>
        </w:rPr>
        <w:t xml:space="preserve"> </w:t>
      </w:r>
      <w:r w:rsidR="00A51B89" w:rsidRPr="00424846">
        <w:rPr>
          <w:rFonts w:ascii="Arial" w:hAnsi="Arial" w:cs="Arial"/>
          <w:sz w:val="24"/>
          <w:szCs w:val="24"/>
        </w:rPr>
        <w:t xml:space="preserve">this </w:t>
      </w:r>
      <w:r w:rsidR="003C68E8" w:rsidRPr="00424846">
        <w:rPr>
          <w:rFonts w:ascii="Arial" w:hAnsi="Arial" w:cs="Arial"/>
          <w:sz w:val="24"/>
          <w:szCs w:val="24"/>
        </w:rPr>
        <w:t>in her article</w:t>
      </w:r>
      <w:r w:rsidR="003C68E8" w:rsidRPr="00424846">
        <w:rPr>
          <w:rFonts w:ascii="Arial" w:hAnsi="Arial" w:cs="Arial"/>
          <w:i/>
          <w:iCs/>
          <w:sz w:val="24"/>
          <w:szCs w:val="24"/>
        </w:rPr>
        <w:t>, Torturing the Ticking Bomb Terrorist</w:t>
      </w:r>
      <w:r w:rsidR="003C68E8" w:rsidRPr="00424846">
        <w:rPr>
          <w:rFonts w:ascii="Arial" w:hAnsi="Arial" w:cs="Arial"/>
          <w:sz w:val="24"/>
          <w:szCs w:val="24"/>
        </w:rPr>
        <w:t xml:space="preserve">, that </w:t>
      </w:r>
      <w:r w:rsidR="0047679B" w:rsidRPr="00424846">
        <w:rPr>
          <w:rFonts w:ascii="Arial" w:hAnsi="Arial" w:cs="Arial"/>
          <w:sz w:val="24"/>
          <w:szCs w:val="24"/>
        </w:rPr>
        <w:t xml:space="preserve">legalising state torture </w:t>
      </w:r>
      <w:r w:rsidR="003C68E8" w:rsidRPr="00424846">
        <w:rPr>
          <w:rFonts w:ascii="Arial" w:hAnsi="Arial" w:cs="Arial"/>
          <w:sz w:val="24"/>
          <w:szCs w:val="24"/>
        </w:rPr>
        <w:t>in</w:t>
      </w:r>
      <w:r w:rsidR="009E5E19" w:rsidRPr="00424846">
        <w:rPr>
          <w:rFonts w:ascii="Arial" w:hAnsi="Arial" w:cs="Arial"/>
          <w:sz w:val="24"/>
          <w:szCs w:val="24"/>
        </w:rPr>
        <w:t xml:space="preserve"> </w:t>
      </w:r>
      <w:r w:rsidR="003C68E8" w:rsidRPr="00424846">
        <w:rPr>
          <w:rFonts w:ascii="Arial" w:hAnsi="Arial" w:cs="Arial"/>
          <w:sz w:val="24"/>
          <w:szCs w:val="24"/>
        </w:rPr>
        <w:t xml:space="preserve">TBS’s, will lead to a ‘widespread and routine use’ of it, as the boundaries start to </w:t>
      </w:r>
      <w:r w:rsidR="009E5E19" w:rsidRPr="00424846">
        <w:rPr>
          <w:rFonts w:ascii="Arial" w:hAnsi="Arial" w:cs="Arial"/>
          <w:sz w:val="24"/>
          <w:szCs w:val="24"/>
        </w:rPr>
        <w:t>relax,</w:t>
      </w:r>
      <w:r w:rsidR="003C68E8" w:rsidRPr="00424846">
        <w:rPr>
          <w:rFonts w:ascii="Arial" w:hAnsi="Arial" w:cs="Arial"/>
          <w:sz w:val="24"/>
          <w:szCs w:val="24"/>
        </w:rPr>
        <w:t xml:space="preserve"> and it is used more frequently and lightly</w:t>
      </w:r>
      <w:r w:rsidR="009E5E19" w:rsidRPr="00424846">
        <w:rPr>
          <w:rFonts w:ascii="Arial" w:hAnsi="Arial" w:cs="Arial"/>
          <w:sz w:val="24"/>
          <w:szCs w:val="24"/>
        </w:rPr>
        <w:t xml:space="preserve"> by the state</w:t>
      </w:r>
      <w:r w:rsidR="007C46E4" w:rsidRPr="00424846">
        <w:rPr>
          <w:rStyle w:val="FootnoteReference"/>
          <w:rFonts w:ascii="Arial" w:hAnsi="Arial" w:cs="Arial"/>
          <w:sz w:val="24"/>
          <w:szCs w:val="24"/>
        </w:rPr>
        <w:footnoteReference w:id="134"/>
      </w:r>
      <w:r w:rsidR="003C68E8" w:rsidRPr="00424846">
        <w:rPr>
          <w:rFonts w:ascii="Arial" w:hAnsi="Arial" w:cs="Arial"/>
          <w:sz w:val="24"/>
          <w:szCs w:val="24"/>
        </w:rPr>
        <w:t xml:space="preserve">. Yugal </w:t>
      </w:r>
      <w:r w:rsidR="0047679B" w:rsidRPr="00424846">
        <w:rPr>
          <w:rFonts w:ascii="Arial" w:hAnsi="Arial" w:cs="Arial"/>
          <w:sz w:val="24"/>
          <w:szCs w:val="24"/>
        </w:rPr>
        <w:t>also</w:t>
      </w:r>
      <w:r w:rsidR="007C46E4" w:rsidRPr="00424846">
        <w:rPr>
          <w:rFonts w:ascii="Arial" w:hAnsi="Arial" w:cs="Arial"/>
          <w:sz w:val="24"/>
          <w:szCs w:val="24"/>
        </w:rPr>
        <w:t xml:space="preserve"> </w:t>
      </w:r>
      <w:r w:rsidR="00A51B89" w:rsidRPr="00424846">
        <w:rPr>
          <w:rFonts w:ascii="Arial" w:hAnsi="Arial" w:cs="Arial"/>
          <w:sz w:val="24"/>
          <w:szCs w:val="24"/>
        </w:rPr>
        <w:t>expresses</w:t>
      </w:r>
      <w:r w:rsidR="003C68E8" w:rsidRPr="00424846">
        <w:rPr>
          <w:rFonts w:ascii="Arial" w:hAnsi="Arial" w:cs="Arial"/>
          <w:sz w:val="24"/>
          <w:szCs w:val="24"/>
        </w:rPr>
        <w:t xml:space="preserve"> that</w:t>
      </w:r>
      <w:r w:rsidR="00442DE2" w:rsidRPr="00424846">
        <w:rPr>
          <w:rFonts w:ascii="Arial" w:hAnsi="Arial" w:cs="Arial"/>
          <w:sz w:val="24"/>
          <w:szCs w:val="24"/>
        </w:rPr>
        <w:t xml:space="preserve"> </w:t>
      </w:r>
      <w:r w:rsidR="007C46E4" w:rsidRPr="00424846">
        <w:rPr>
          <w:rFonts w:ascii="Arial" w:hAnsi="Arial" w:cs="Arial"/>
          <w:sz w:val="24"/>
          <w:szCs w:val="24"/>
        </w:rPr>
        <w:t xml:space="preserve">no </w:t>
      </w:r>
      <w:r w:rsidR="0047679B" w:rsidRPr="00424846">
        <w:rPr>
          <w:rFonts w:ascii="Arial" w:hAnsi="Arial" w:cs="Arial"/>
          <w:sz w:val="24"/>
          <w:szCs w:val="24"/>
        </w:rPr>
        <w:t xml:space="preserve">boundary </w:t>
      </w:r>
      <w:r w:rsidR="007C46E4" w:rsidRPr="00424846">
        <w:rPr>
          <w:rFonts w:ascii="Arial" w:hAnsi="Arial" w:cs="Arial"/>
          <w:sz w:val="24"/>
          <w:szCs w:val="24"/>
        </w:rPr>
        <w:t xml:space="preserve">placed around </w:t>
      </w:r>
      <w:r w:rsidR="0047679B" w:rsidRPr="00424846">
        <w:rPr>
          <w:rFonts w:ascii="Arial" w:hAnsi="Arial" w:cs="Arial"/>
          <w:sz w:val="24"/>
          <w:szCs w:val="24"/>
        </w:rPr>
        <w:t>JT</w:t>
      </w:r>
      <w:r w:rsidR="007C46E4" w:rsidRPr="00424846">
        <w:rPr>
          <w:rFonts w:ascii="Arial" w:hAnsi="Arial" w:cs="Arial"/>
          <w:sz w:val="24"/>
          <w:szCs w:val="24"/>
        </w:rPr>
        <w:t xml:space="preserve"> can limit it to produce, just the desired outcome</w:t>
      </w:r>
      <w:r w:rsidR="0047679B" w:rsidRPr="00424846">
        <w:rPr>
          <w:rFonts w:ascii="Arial" w:hAnsi="Arial" w:cs="Arial"/>
          <w:sz w:val="24"/>
          <w:szCs w:val="24"/>
        </w:rPr>
        <w:t xml:space="preserve"> </w:t>
      </w:r>
      <w:r w:rsidR="007C7763" w:rsidRPr="00424846">
        <w:rPr>
          <w:rFonts w:ascii="Arial" w:hAnsi="Arial" w:cs="Arial"/>
          <w:sz w:val="24"/>
          <w:szCs w:val="24"/>
        </w:rPr>
        <w:t>(</w:t>
      </w:r>
      <w:r w:rsidR="0047679B" w:rsidRPr="00424846">
        <w:rPr>
          <w:rFonts w:ascii="Arial" w:hAnsi="Arial" w:cs="Arial"/>
          <w:sz w:val="24"/>
          <w:szCs w:val="24"/>
        </w:rPr>
        <w:t>of saving lives</w:t>
      </w:r>
      <w:r w:rsidR="007C7763" w:rsidRPr="00424846">
        <w:rPr>
          <w:rFonts w:ascii="Arial" w:hAnsi="Arial" w:cs="Arial"/>
          <w:sz w:val="24"/>
          <w:szCs w:val="24"/>
        </w:rPr>
        <w:t>)</w:t>
      </w:r>
      <w:r w:rsidR="0047679B" w:rsidRPr="00424846">
        <w:rPr>
          <w:rFonts w:ascii="Arial" w:hAnsi="Arial" w:cs="Arial"/>
          <w:sz w:val="24"/>
          <w:szCs w:val="24"/>
        </w:rPr>
        <w:t xml:space="preserve">, </w:t>
      </w:r>
      <w:r w:rsidR="007C7763" w:rsidRPr="00424846">
        <w:rPr>
          <w:rFonts w:ascii="Arial" w:hAnsi="Arial" w:cs="Arial"/>
          <w:sz w:val="24"/>
          <w:szCs w:val="24"/>
        </w:rPr>
        <w:t xml:space="preserve">whilst, </w:t>
      </w:r>
      <w:r w:rsidR="007C46E4" w:rsidRPr="00424846">
        <w:rPr>
          <w:rFonts w:ascii="Arial" w:hAnsi="Arial" w:cs="Arial"/>
          <w:sz w:val="24"/>
          <w:szCs w:val="24"/>
        </w:rPr>
        <w:t>prevent</w:t>
      </w:r>
      <w:r w:rsidR="0047679B" w:rsidRPr="00424846">
        <w:rPr>
          <w:rFonts w:ascii="Arial" w:hAnsi="Arial" w:cs="Arial"/>
          <w:sz w:val="24"/>
          <w:szCs w:val="24"/>
        </w:rPr>
        <w:t>ing</w:t>
      </w:r>
      <w:r w:rsidR="007C46E4" w:rsidRPr="00424846">
        <w:rPr>
          <w:rFonts w:ascii="Arial" w:hAnsi="Arial" w:cs="Arial"/>
          <w:sz w:val="24"/>
          <w:szCs w:val="24"/>
        </w:rPr>
        <w:t xml:space="preserve"> the undesired ones</w:t>
      </w:r>
      <w:r w:rsidR="0047679B" w:rsidRPr="00424846">
        <w:rPr>
          <w:rFonts w:ascii="Arial" w:hAnsi="Arial" w:cs="Arial"/>
          <w:sz w:val="24"/>
          <w:szCs w:val="24"/>
        </w:rPr>
        <w:t>. Therefore</w:t>
      </w:r>
      <w:r w:rsidR="007C46E4" w:rsidRPr="00424846">
        <w:rPr>
          <w:rFonts w:ascii="Arial" w:hAnsi="Arial" w:cs="Arial"/>
          <w:sz w:val="24"/>
          <w:szCs w:val="24"/>
        </w:rPr>
        <w:t>, all of it should remain</w:t>
      </w:r>
      <w:r w:rsidR="007C7763" w:rsidRPr="00424846">
        <w:rPr>
          <w:rFonts w:ascii="Arial" w:hAnsi="Arial" w:cs="Arial"/>
          <w:sz w:val="24"/>
          <w:szCs w:val="24"/>
        </w:rPr>
        <w:t xml:space="preserve"> </w:t>
      </w:r>
      <w:r w:rsidR="0047679B" w:rsidRPr="00424846">
        <w:rPr>
          <w:rFonts w:ascii="Arial" w:hAnsi="Arial" w:cs="Arial"/>
          <w:sz w:val="24"/>
          <w:szCs w:val="24"/>
        </w:rPr>
        <w:t xml:space="preserve">illegal. </w:t>
      </w:r>
    </w:p>
    <w:p w14:paraId="7184E7CA" w14:textId="77777777" w:rsidR="009E5E19" w:rsidRPr="00424846" w:rsidRDefault="007C7763" w:rsidP="00862139">
      <w:pPr>
        <w:spacing w:line="480" w:lineRule="auto"/>
        <w:jc w:val="both"/>
        <w:rPr>
          <w:rFonts w:ascii="Arial" w:hAnsi="Arial" w:cs="Arial"/>
          <w:sz w:val="24"/>
          <w:szCs w:val="24"/>
        </w:rPr>
      </w:pPr>
      <w:r w:rsidRPr="00424846">
        <w:rPr>
          <w:rFonts w:ascii="Arial" w:hAnsi="Arial" w:cs="Arial"/>
          <w:sz w:val="24"/>
          <w:szCs w:val="24"/>
        </w:rPr>
        <w:t>N</w:t>
      </w:r>
      <w:r w:rsidR="007C46E4" w:rsidRPr="00424846">
        <w:rPr>
          <w:rFonts w:ascii="Arial" w:hAnsi="Arial" w:cs="Arial"/>
          <w:sz w:val="24"/>
          <w:szCs w:val="24"/>
        </w:rPr>
        <w:t xml:space="preserve">on-profit </w:t>
      </w:r>
      <w:r w:rsidRPr="00424846">
        <w:rPr>
          <w:rFonts w:ascii="Arial" w:hAnsi="Arial" w:cs="Arial"/>
          <w:sz w:val="24"/>
          <w:szCs w:val="24"/>
        </w:rPr>
        <w:t xml:space="preserve">human rights </w:t>
      </w:r>
      <w:r w:rsidR="007C46E4" w:rsidRPr="00424846">
        <w:rPr>
          <w:rFonts w:ascii="Arial" w:hAnsi="Arial" w:cs="Arial"/>
          <w:sz w:val="24"/>
          <w:szCs w:val="24"/>
        </w:rPr>
        <w:t>organisations</w:t>
      </w:r>
      <w:r w:rsidRPr="00424846">
        <w:rPr>
          <w:rFonts w:ascii="Arial" w:hAnsi="Arial" w:cs="Arial"/>
          <w:sz w:val="24"/>
          <w:szCs w:val="24"/>
        </w:rPr>
        <w:t xml:space="preserve">, </w:t>
      </w:r>
      <w:r w:rsidR="007C46E4" w:rsidRPr="00424846">
        <w:rPr>
          <w:rFonts w:ascii="Arial" w:hAnsi="Arial" w:cs="Arial"/>
          <w:sz w:val="24"/>
          <w:szCs w:val="24"/>
        </w:rPr>
        <w:t xml:space="preserve">like </w:t>
      </w:r>
      <w:r w:rsidR="008F614C" w:rsidRPr="00424846">
        <w:rPr>
          <w:rFonts w:ascii="Arial" w:hAnsi="Arial" w:cs="Arial"/>
          <w:sz w:val="24"/>
          <w:szCs w:val="24"/>
        </w:rPr>
        <w:t>Liberty</w:t>
      </w:r>
      <w:r w:rsidR="008F614C" w:rsidRPr="00424846">
        <w:rPr>
          <w:rStyle w:val="FootnoteReference"/>
          <w:rFonts w:ascii="Arial" w:hAnsi="Arial" w:cs="Arial"/>
          <w:sz w:val="24"/>
          <w:szCs w:val="24"/>
        </w:rPr>
        <w:footnoteReference w:id="135"/>
      </w:r>
      <w:r w:rsidR="008F614C" w:rsidRPr="00424846">
        <w:rPr>
          <w:rFonts w:ascii="Arial" w:hAnsi="Arial" w:cs="Arial"/>
          <w:sz w:val="24"/>
          <w:szCs w:val="24"/>
        </w:rPr>
        <w:t xml:space="preserve"> and </w:t>
      </w:r>
      <w:r w:rsidR="007C46E4" w:rsidRPr="00424846">
        <w:rPr>
          <w:rFonts w:ascii="Arial" w:hAnsi="Arial" w:cs="Arial"/>
          <w:sz w:val="24"/>
          <w:szCs w:val="24"/>
        </w:rPr>
        <w:t>Amnesty International,</w:t>
      </w:r>
      <w:r w:rsidRPr="00424846">
        <w:rPr>
          <w:rFonts w:ascii="Arial" w:hAnsi="Arial" w:cs="Arial"/>
          <w:sz w:val="24"/>
          <w:szCs w:val="24"/>
        </w:rPr>
        <w:t xml:space="preserve"> take the view </w:t>
      </w:r>
      <w:r w:rsidR="007C46E4" w:rsidRPr="00424846">
        <w:rPr>
          <w:rFonts w:ascii="Arial" w:hAnsi="Arial" w:cs="Arial"/>
          <w:sz w:val="24"/>
          <w:szCs w:val="24"/>
        </w:rPr>
        <w:t xml:space="preserve">that </w:t>
      </w:r>
      <w:r w:rsidRPr="00424846">
        <w:rPr>
          <w:rFonts w:ascii="Arial" w:hAnsi="Arial" w:cs="Arial"/>
          <w:sz w:val="24"/>
          <w:szCs w:val="24"/>
        </w:rPr>
        <w:t>a torture warrant,</w:t>
      </w:r>
      <w:r w:rsidR="00152113" w:rsidRPr="00424846">
        <w:rPr>
          <w:rFonts w:ascii="Arial" w:hAnsi="Arial" w:cs="Arial"/>
          <w:sz w:val="24"/>
          <w:szCs w:val="24"/>
        </w:rPr>
        <w:t xml:space="preserve"> limited to just </w:t>
      </w:r>
      <w:r w:rsidRPr="00424846">
        <w:rPr>
          <w:rFonts w:ascii="Arial" w:hAnsi="Arial" w:cs="Arial"/>
          <w:sz w:val="24"/>
          <w:szCs w:val="24"/>
        </w:rPr>
        <w:t xml:space="preserve">TBS’s, </w:t>
      </w:r>
      <w:r w:rsidR="007C46E4" w:rsidRPr="00424846">
        <w:rPr>
          <w:rFonts w:ascii="Arial" w:hAnsi="Arial" w:cs="Arial"/>
          <w:sz w:val="24"/>
          <w:szCs w:val="24"/>
        </w:rPr>
        <w:t xml:space="preserve">is unrealistic, as </w:t>
      </w:r>
      <w:r w:rsidR="008F614C" w:rsidRPr="00424846">
        <w:rPr>
          <w:rFonts w:ascii="Arial" w:hAnsi="Arial" w:cs="Arial"/>
          <w:sz w:val="24"/>
          <w:szCs w:val="24"/>
        </w:rPr>
        <w:t xml:space="preserve">the </w:t>
      </w:r>
      <w:r w:rsidR="007C46E4" w:rsidRPr="00424846">
        <w:rPr>
          <w:rFonts w:ascii="Arial" w:hAnsi="Arial" w:cs="Arial"/>
          <w:sz w:val="24"/>
          <w:szCs w:val="24"/>
        </w:rPr>
        <w:t>likel</w:t>
      </w:r>
      <w:r w:rsidR="008F614C" w:rsidRPr="00424846">
        <w:rPr>
          <w:rFonts w:ascii="Arial" w:hAnsi="Arial" w:cs="Arial"/>
          <w:sz w:val="24"/>
          <w:szCs w:val="24"/>
        </w:rPr>
        <w:t>ihood is</w:t>
      </w:r>
      <w:r w:rsidR="007C46E4" w:rsidRPr="00424846">
        <w:rPr>
          <w:rFonts w:ascii="Arial" w:hAnsi="Arial" w:cs="Arial"/>
          <w:sz w:val="24"/>
          <w:szCs w:val="24"/>
        </w:rPr>
        <w:t xml:space="preserve"> </w:t>
      </w:r>
      <w:r w:rsidR="008F614C" w:rsidRPr="00424846">
        <w:rPr>
          <w:rFonts w:ascii="Arial" w:hAnsi="Arial" w:cs="Arial"/>
          <w:sz w:val="24"/>
          <w:szCs w:val="24"/>
        </w:rPr>
        <w:t xml:space="preserve">that, </w:t>
      </w:r>
      <w:r w:rsidR="007C46E4" w:rsidRPr="00424846">
        <w:rPr>
          <w:rFonts w:ascii="Arial" w:hAnsi="Arial" w:cs="Arial"/>
          <w:sz w:val="24"/>
          <w:szCs w:val="24"/>
        </w:rPr>
        <w:t xml:space="preserve">torture </w:t>
      </w:r>
      <w:r w:rsidR="008F614C" w:rsidRPr="00424846">
        <w:rPr>
          <w:rFonts w:ascii="Arial" w:hAnsi="Arial" w:cs="Arial"/>
          <w:sz w:val="24"/>
          <w:szCs w:val="24"/>
        </w:rPr>
        <w:t xml:space="preserve">will </w:t>
      </w:r>
      <w:r w:rsidR="007C46E4" w:rsidRPr="00424846">
        <w:rPr>
          <w:rFonts w:ascii="Arial" w:hAnsi="Arial" w:cs="Arial"/>
          <w:sz w:val="24"/>
          <w:szCs w:val="24"/>
        </w:rPr>
        <w:t>become a tool</w:t>
      </w:r>
      <w:r w:rsidRPr="00424846">
        <w:rPr>
          <w:rFonts w:ascii="Arial" w:hAnsi="Arial" w:cs="Arial"/>
          <w:sz w:val="24"/>
          <w:szCs w:val="24"/>
        </w:rPr>
        <w:t xml:space="preserve"> used</w:t>
      </w:r>
      <w:r w:rsidR="007C46E4" w:rsidRPr="00424846">
        <w:rPr>
          <w:rFonts w:ascii="Arial" w:hAnsi="Arial" w:cs="Arial"/>
          <w:sz w:val="24"/>
          <w:szCs w:val="24"/>
        </w:rPr>
        <w:t xml:space="preserve"> frivolously </w:t>
      </w:r>
      <w:r w:rsidR="008F614C" w:rsidRPr="00424846">
        <w:rPr>
          <w:rFonts w:ascii="Arial" w:hAnsi="Arial" w:cs="Arial"/>
          <w:sz w:val="24"/>
          <w:szCs w:val="24"/>
        </w:rPr>
        <w:t xml:space="preserve">by the state </w:t>
      </w:r>
      <w:r w:rsidR="007C46E4" w:rsidRPr="00424846">
        <w:rPr>
          <w:rFonts w:ascii="Arial" w:hAnsi="Arial" w:cs="Arial"/>
          <w:sz w:val="24"/>
          <w:szCs w:val="24"/>
        </w:rPr>
        <w:t xml:space="preserve">on a </w:t>
      </w:r>
      <w:r w:rsidR="000A3C0B" w:rsidRPr="00424846">
        <w:rPr>
          <w:rFonts w:ascii="Arial" w:hAnsi="Arial" w:cs="Arial"/>
          <w:sz w:val="24"/>
          <w:szCs w:val="24"/>
        </w:rPr>
        <w:t xml:space="preserve">marginalised and labelled </w:t>
      </w:r>
      <w:r w:rsidR="00152113" w:rsidRPr="00424846">
        <w:rPr>
          <w:rFonts w:ascii="Arial" w:hAnsi="Arial" w:cs="Arial"/>
          <w:sz w:val="24"/>
          <w:szCs w:val="24"/>
        </w:rPr>
        <w:t xml:space="preserve">minority </w:t>
      </w:r>
      <w:r w:rsidR="000A3C0B" w:rsidRPr="00424846">
        <w:rPr>
          <w:rFonts w:ascii="Arial" w:hAnsi="Arial" w:cs="Arial"/>
          <w:sz w:val="24"/>
          <w:szCs w:val="24"/>
        </w:rPr>
        <w:t xml:space="preserve">group. </w:t>
      </w:r>
      <w:r w:rsidR="008F614C" w:rsidRPr="00424846">
        <w:rPr>
          <w:rFonts w:ascii="Arial" w:hAnsi="Arial" w:cs="Arial"/>
          <w:sz w:val="24"/>
          <w:szCs w:val="24"/>
        </w:rPr>
        <w:t xml:space="preserve">An article from the </w:t>
      </w:r>
      <w:r w:rsidR="000A3C0B" w:rsidRPr="00424846">
        <w:rPr>
          <w:rFonts w:ascii="Arial" w:hAnsi="Arial" w:cs="Arial"/>
          <w:i/>
          <w:iCs/>
          <w:sz w:val="24"/>
          <w:szCs w:val="24"/>
        </w:rPr>
        <w:t>Economist</w:t>
      </w:r>
      <w:r w:rsidR="00201A6F" w:rsidRPr="00424846">
        <w:rPr>
          <w:rStyle w:val="FootnoteReference"/>
          <w:rFonts w:ascii="Arial" w:hAnsi="Arial" w:cs="Arial"/>
          <w:sz w:val="24"/>
          <w:szCs w:val="24"/>
        </w:rPr>
        <w:footnoteReference w:id="136"/>
      </w:r>
      <w:r w:rsidR="000A3C0B" w:rsidRPr="00424846">
        <w:rPr>
          <w:rFonts w:ascii="Arial" w:hAnsi="Arial" w:cs="Arial"/>
          <w:sz w:val="24"/>
          <w:szCs w:val="24"/>
        </w:rPr>
        <w:t xml:space="preserve"> supports this</w:t>
      </w:r>
      <w:r w:rsidR="00A17B9A" w:rsidRPr="00424846">
        <w:rPr>
          <w:rFonts w:ascii="Arial" w:hAnsi="Arial" w:cs="Arial"/>
          <w:sz w:val="24"/>
          <w:szCs w:val="24"/>
        </w:rPr>
        <w:t xml:space="preserve"> further</w:t>
      </w:r>
      <w:r w:rsidR="000A3C0B" w:rsidRPr="00424846">
        <w:rPr>
          <w:rFonts w:ascii="Arial" w:hAnsi="Arial" w:cs="Arial"/>
          <w:sz w:val="24"/>
          <w:szCs w:val="24"/>
        </w:rPr>
        <w:t xml:space="preserve">, as they argue that </w:t>
      </w:r>
      <w:r w:rsidR="008F614C" w:rsidRPr="00424846">
        <w:rPr>
          <w:rFonts w:ascii="Arial" w:hAnsi="Arial" w:cs="Arial"/>
          <w:sz w:val="24"/>
          <w:szCs w:val="24"/>
        </w:rPr>
        <w:t>any</w:t>
      </w:r>
      <w:r w:rsidR="000A3C0B" w:rsidRPr="00424846">
        <w:rPr>
          <w:rFonts w:ascii="Arial" w:hAnsi="Arial" w:cs="Arial"/>
          <w:sz w:val="24"/>
          <w:szCs w:val="24"/>
        </w:rPr>
        <w:t xml:space="preserve"> </w:t>
      </w:r>
      <w:r w:rsidR="008F614C" w:rsidRPr="00424846">
        <w:rPr>
          <w:rFonts w:ascii="Arial" w:hAnsi="Arial" w:cs="Arial"/>
          <w:sz w:val="24"/>
          <w:szCs w:val="24"/>
        </w:rPr>
        <w:t>boundary</w:t>
      </w:r>
      <w:r w:rsidR="000A3C0B" w:rsidRPr="00424846">
        <w:rPr>
          <w:rFonts w:ascii="Arial" w:hAnsi="Arial" w:cs="Arial"/>
          <w:sz w:val="24"/>
          <w:szCs w:val="24"/>
        </w:rPr>
        <w:t xml:space="preserve"> </w:t>
      </w:r>
      <w:r w:rsidR="00A17B9A" w:rsidRPr="00424846">
        <w:rPr>
          <w:rFonts w:ascii="Arial" w:hAnsi="Arial" w:cs="Arial"/>
          <w:sz w:val="24"/>
          <w:szCs w:val="24"/>
        </w:rPr>
        <w:t xml:space="preserve">placed around torture </w:t>
      </w:r>
      <w:r w:rsidR="000A3C0B" w:rsidRPr="00424846">
        <w:rPr>
          <w:rFonts w:ascii="Arial" w:hAnsi="Arial" w:cs="Arial"/>
          <w:sz w:val="24"/>
          <w:szCs w:val="24"/>
        </w:rPr>
        <w:t>would ‘erod</w:t>
      </w:r>
      <w:r w:rsidR="005B3462" w:rsidRPr="00424846">
        <w:rPr>
          <w:rFonts w:ascii="Arial" w:hAnsi="Arial" w:cs="Arial"/>
          <w:sz w:val="24"/>
          <w:szCs w:val="24"/>
        </w:rPr>
        <w:t>e</w:t>
      </w:r>
      <w:r w:rsidR="000A3C0B" w:rsidRPr="00424846">
        <w:rPr>
          <w:rFonts w:ascii="Arial" w:hAnsi="Arial" w:cs="Arial"/>
          <w:sz w:val="24"/>
          <w:szCs w:val="24"/>
        </w:rPr>
        <w:t>’</w:t>
      </w:r>
      <w:r w:rsidR="005B3462" w:rsidRPr="00424846">
        <w:rPr>
          <w:rFonts w:ascii="Arial" w:hAnsi="Arial" w:cs="Arial"/>
          <w:sz w:val="24"/>
          <w:szCs w:val="24"/>
        </w:rPr>
        <w:t xml:space="preserve"> eventually and </w:t>
      </w:r>
      <w:r w:rsidR="008F614C" w:rsidRPr="00424846">
        <w:rPr>
          <w:rFonts w:ascii="Arial" w:hAnsi="Arial" w:cs="Arial"/>
          <w:sz w:val="24"/>
          <w:szCs w:val="24"/>
        </w:rPr>
        <w:t xml:space="preserve">torture </w:t>
      </w:r>
      <w:r w:rsidR="000E78FF" w:rsidRPr="00424846">
        <w:rPr>
          <w:rFonts w:ascii="Arial" w:hAnsi="Arial" w:cs="Arial"/>
          <w:sz w:val="24"/>
          <w:szCs w:val="24"/>
        </w:rPr>
        <w:t>will</w:t>
      </w:r>
      <w:r w:rsidR="008F614C" w:rsidRPr="00424846">
        <w:rPr>
          <w:rFonts w:ascii="Arial" w:hAnsi="Arial" w:cs="Arial"/>
          <w:sz w:val="24"/>
          <w:szCs w:val="24"/>
        </w:rPr>
        <w:t xml:space="preserve"> be </w:t>
      </w:r>
      <w:r w:rsidR="005B3462" w:rsidRPr="00424846">
        <w:rPr>
          <w:rFonts w:ascii="Arial" w:hAnsi="Arial" w:cs="Arial"/>
          <w:sz w:val="24"/>
          <w:szCs w:val="24"/>
        </w:rPr>
        <w:t xml:space="preserve">used </w:t>
      </w:r>
      <w:r w:rsidR="008F614C" w:rsidRPr="00424846">
        <w:rPr>
          <w:rFonts w:ascii="Arial" w:hAnsi="Arial" w:cs="Arial"/>
          <w:sz w:val="24"/>
          <w:szCs w:val="24"/>
        </w:rPr>
        <w:t>mercilessly</w:t>
      </w:r>
      <w:r w:rsidR="00201A6F" w:rsidRPr="00424846">
        <w:rPr>
          <w:rFonts w:ascii="Arial" w:hAnsi="Arial" w:cs="Arial"/>
          <w:sz w:val="24"/>
          <w:szCs w:val="24"/>
        </w:rPr>
        <w:t>, leading to the perversion of</w:t>
      </w:r>
      <w:r w:rsidR="00695E41" w:rsidRPr="00424846">
        <w:rPr>
          <w:rFonts w:ascii="Arial" w:hAnsi="Arial" w:cs="Arial"/>
          <w:sz w:val="24"/>
          <w:szCs w:val="24"/>
        </w:rPr>
        <w:t xml:space="preserve"> </w:t>
      </w:r>
      <w:r w:rsidR="000A3C0B" w:rsidRPr="00424846">
        <w:rPr>
          <w:rFonts w:ascii="Arial" w:hAnsi="Arial" w:cs="Arial"/>
          <w:sz w:val="24"/>
          <w:szCs w:val="24"/>
        </w:rPr>
        <w:t xml:space="preserve">our </w:t>
      </w:r>
      <w:r w:rsidR="00201A6F" w:rsidRPr="00424846">
        <w:rPr>
          <w:rFonts w:ascii="Arial" w:hAnsi="Arial" w:cs="Arial"/>
          <w:sz w:val="24"/>
          <w:szCs w:val="24"/>
        </w:rPr>
        <w:t xml:space="preserve">legal, </w:t>
      </w:r>
      <w:r w:rsidR="00695E41" w:rsidRPr="00424846">
        <w:rPr>
          <w:rFonts w:ascii="Arial" w:hAnsi="Arial" w:cs="Arial"/>
          <w:sz w:val="24"/>
          <w:szCs w:val="24"/>
        </w:rPr>
        <w:t>medical</w:t>
      </w:r>
      <w:r w:rsidR="00201A6F" w:rsidRPr="00424846">
        <w:rPr>
          <w:rFonts w:ascii="Arial" w:hAnsi="Arial" w:cs="Arial"/>
          <w:sz w:val="24"/>
          <w:szCs w:val="24"/>
        </w:rPr>
        <w:t xml:space="preserve"> and social </w:t>
      </w:r>
      <w:r w:rsidR="00695E41" w:rsidRPr="00424846">
        <w:rPr>
          <w:rFonts w:ascii="Arial" w:hAnsi="Arial" w:cs="Arial"/>
          <w:sz w:val="24"/>
          <w:szCs w:val="24"/>
        </w:rPr>
        <w:t xml:space="preserve">institutions </w:t>
      </w:r>
      <w:r w:rsidR="00201A6F" w:rsidRPr="00424846">
        <w:rPr>
          <w:rFonts w:ascii="Arial" w:hAnsi="Arial" w:cs="Arial"/>
          <w:sz w:val="24"/>
          <w:szCs w:val="24"/>
        </w:rPr>
        <w:t>as well as</w:t>
      </w:r>
      <w:r w:rsidR="000A3C0B" w:rsidRPr="00424846">
        <w:rPr>
          <w:rFonts w:ascii="Arial" w:hAnsi="Arial" w:cs="Arial"/>
          <w:sz w:val="24"/>
          <w:szCs w:val="24"/>
        </w:rPr>
        <w:t xml:space="preserve"> </w:t>
      </w:r>
      <w:r w:rsidR="00201A6F" w:rsidRPr="00424846">
        <w:rPr>
          <w:rFonts w:ascii="Arial" w:hAnsi="Arial" w:cs="Arial"/>
          <w:sz w:val="24"/>
          <w:szCs w:val="24"/>
        </w:rPr>
        <w:t xml:space="preserve">our </w:t>
      </w:r>
      <w:r w:rsidR="00695E41" w:rsidRPr="00424846">
        <w:rPr>
          <w:rFonts w:ascii="Arial" w:hAnsi="Arial" w:cs="Arial"/>
          <w:sz w:val="24"/>
          <w:szCs w:val="24"/>
        </w:rPr>
        <w:t xml:space="preserve">collective </w:t>
      </w:r>
      <w:r w:rsidR="000A3C0B" w:rsidRPr="00424846">
        <w:rPr>
          <w:rFonts w:ascii="Arial" w:hAnsi="Arial" w:cs="Arial"/>
          <w:sz w:val="24"/>
          <w:szCs w:val="24"/>
        </w:rPr>
        <w:t xml:space="preserve">morality, fulfilling the </w:t>
      </w:r>
      <w:r w:rsidR="00201A6F" w:rsidRPr="00424846">
        <w:rPr>
          <w:rFonts w:ascii="Arial" w:hAnsi="Arial" w:cs="Arial"/>
          <w:sz w:val="24"/>
          <w:szCs w:val="24"/>
        </w:rPr>
        <w:t xml:space="preserve">ultimate </w:t>
      </w:r>
      <w:r w:rsidR="000A3C0B" w:rsidRPr="00424846">
        <w:rPr>
          <w:rFonts w:ascii="Arial" w:hAnsi="Arial" w:cs="Arial"/>
          <w:sz w:val="24"/>
          <w:szCs w:val="24"/>
        </w:rPr>
        <w:t>goal of the terrorist</w:t>
      </w:r>
      <w:r w:rsidR="00FC59E0" w:rsidRPr="00424846">
        <w:rPr>
          <w:rStyle w:val="FootnoteReference"/>
          <w:rFonts w:ascii="Arial" w:hAnsi="Arial" w:cs="Arial"/>
          <w:sz w:val="24"/>
          <w:szCs w:val="24"/>
        </w:rPr>
        <w:footnoteReference w:id="137"/>
      </w:r>
      <w:r w:rsidR="000A3C0B" w:rsidRPr="00424846">
        <w:rPr>
          <w:rFonts w:ascii="Arial" w:hAnsi="Arial" w:cs="Arial"/>
          <w:sz w:val="24"/>
          <w:szCs w:val="24"/>
        </w:rPr>
        <w:t xml:space="preserve">. </w:t>
      </w:r>
    </w:p>
    <w:p w14:paraId="72547F9A" w14:textId="0149B3D0" w:rsidR="00750EA8" w:rsidRPr="00424846" w:rsidRDefault="004B36F3" w:rsidP="00862139">
      <w:pPr>
        <w:spacing w:line="480" w:lineRule="auto"/>
        <w:jc w:val="both"/>
        <w:rPr>
          <w:rFonts w:ascii="Arial" w:hAnsi="Arial" w:cs="Arial"/>
          <w:sz w:val="24"/>
          <w:szCs w:val="24"/>
        </w:rPr>
      </w:pPr>
      <w:r w:rsidRPr="00424846">
        <w:rPr>
          <w:rFonts w:ascii="Arial" w:hAnsi="Arial" w:cs="Arial"/>
          <w:sz w:val="24"/>
          <w:szCs w:val="24"/>
        </w:rPr>
        <w:lastRenderedPageBreak/>
        <w:t>To counter, Clarke argue</w:t>
      </w:r>
      <w:r w:rsidR="00F576E2" w:rsidRPr="00424846">
        <w:rPr>
          <w:rFonts w:ascii="Arial" w:hAnsi="Arial" w:cs="Arial"/>
          <w:sz w:val="24"/>
          <w:szCs w:val="24"/>
        </w:rPr>
        <w:t>s</w:t>
      </w:r>
      <w:r w:rsidRPr="00424846">
        <w:rPr>
          <w:rFonts w:ascii="Arial" w:hAnsi="Arial" w:cs="Arial"/>
          <w:sz w:val="24"/>
          <w:szCs w:val="24"/>
        </w:rPr>
        <w:t xml:space="preserve"> that there is no real evidence to indicate </w:t>
      </w:r>
      <w:r w:rsidR="008821C3" w:rsidRPr="00424846">
        <w:rPr>
          <w:rFonts w:ascii="Arial" w:hAnsi="Arial" w:cs="Arial"/>
          <w:sz w:val="24"/>
          <w:szCs w:val="24"/>
        </w:rPr>
        <w:t>this outcome</w:t>
      </w:r>
      <w:r w:rsidR="00F576E2" w:rsidRPr="00424846">
        <w:rPr>
          <w:rFonts w:ascii="Arial" w:hAnsi="Arial" w:cs="Arial"/>
          <w:sz w:val="24"/>
          <w:szCs w:val="24"/>
        </w:rPr>
        <w:t xml:space="preserve">. </w:t>
      </w:r>
      <w:r w:rsidRPr="00424846">
        <w:rPr>
          <w:rFonts w:ascii="Arial" w:hAnsi="Arial" w:cs="Arial"/>
          <w:sz w:val="24"/>
          <w:szCs w:val="24"/>
        </w:rPr>
        <w:t xml:space="preserve">Therefore, </w:t>
      </w:r>
      <w:r w:rsidR="008821C3" w:rsidRPr="00424846">
        <w:rPr>
          <w:rFonts w:ascii="Arial" w:hAnsi="Arial" w:cs="Arial"/>
          <w:sz w:val="24"/>
          <w:szCs w:val="24"/>
        </w:rPr>
        <w:t>it should be</w:t>
      </w:r>
      <w:r w:rsidRPr="00424846">
        <w:rPr>
          <w:rFonts w:ascii="Arial" w:hAnsi="Arial" w:cs="Arial"/>
          <w:sz w:val="24"/>
          <w:szCs w:val="24"/>
        </w:rPr>
        <w:t xml:space="preserve"> taken as theoretical</w:t>
      </w:r>
      <w:r w:rsidR="0012104C" w:rsidRPr="00424846">
        <w:rPr>
          <w:rFonts w:ascii="Arial" w:hAnsi="Arial" w:cs="Arial"/>
          <w:sz w:val="24"/>
          <w:szCs w:val="24"/>
        </w:rPr>
        <w:t xml:space="preserve">, </w:t>
      </w:r>
      <w:r w:rsidRPr="00424846">
        <w:rPr>
          <w:rFonts w:ascii="Arial" w:hAnsi="Arial" w:cs="Arial"/>
          <w:sz w:val="24"/>
          <w:szCs w:val="24"/>
        </w:rPr>
        <w:t>as opposed to</w:t>
      </w:r>
      <w:r w:rsidR="0012104C" w:rsidRPr="00424846">
        <w:rPr>
          <w:rFonts w:ascii="Arial" w:hAnsi="Arial" w:cs="Arial"/>
          <w:sz w:val="24"/>
          <w:szCs w:val="24"/>
        </w:rPr>
        <w:t xml:space="preserve"> </w:t>
      </w:r>
      <w:r w:rsidRPr="00424846">
        <w:rPr>
          <w:rFonts w:ascii="Arial" w:hAnsi="Arial" w:cs="Arial"/>
          <w:sz w:val="24"/>
          <w:szCs w:val="24"/>
        </w:rPr>
        <w:t>realistic</w:t>
      </w:r>
      <w:r w:rsidR="00F576E2" w:rsidRPr="00424846">
        <w:rPr>
          <w:rFonts w:ascii="Arial" w:hAnsi="Arial" w:cs="Arial"/>
          <w:sz w:val="24"/>
          <w:szCs w:val="24"/>
        </w:rPr>
        <w:t>. Though</w:t>
      </w:r>
      <w:r w:rsidR="00B60048" w:rsidRPr="00424846">
        <w:rPr>
          <w:rFonts w:ascii="Arial" w:hAnsi="Arial" w:cs="Arial"/>
          <w:sz w:val="24"/>
          <w:szCs w:val="24"/>
        </w:rPr>
        <w:t xml:space="preserve">, </w:t>
      </w:r>
      <w:r w:rsidR="0081548E" w:rsidRPr="00424846">
        <w:rPr>
          <w:rFonts w:ascii="Arial" w:hAnsi="Arial" w:cs="Arial"/>
          <w:sz w:val="24"/>
          <w:szCs w:val="24"/>
        </w:rPr>
        <w:t xml:space="preserve">Rodley </w:t>
      </w:r>
      <w:r w:rsidR="00BE1D27" w:rsidRPr="00424846">
        <w:rPr>
          <w:rFonts w:ascii="Arial" w:hAnsi="Arial" w:cs="Arial"/>
          <w:sz w:val="24"/>
          <w:szCs w:val="24"/>
        </w:rPr>
        <w:t xml:space="preserve">would say </w:t>
      </w:r>
      <w:r w:rsidR="009F509A" w:rsidRPr="00424846">
        <w:rPr>
          <w:rFonts w:ascii="Arial" w:hAnsi="Arial" w:cs="Arial"/>
          <w:sz w:val="24"/>
          <w:szCs w:val="24"/>
        </w:rPr>
        <w:t xml:space="preserve">the </w:t>
      </w:r>
      <w:r w:rsidR="0081548E" w:rsidRPr="00424846">
        <w:rPr>
          <w:rFonts w:ascii="Arial" w:hAnsi="Arial" w:cs="Arial"/>
          <w:sz w:val="24"/>
          <w:szCs w:val="24"/>
        </w:rPr>
        <w:t xml:space="preserve">same </w:t>
      </w:r>
      <w:r w:rsidR="009F509A" w:rsidRPr="00424846">
        <w:rPr>
          <w:rFonts w:ascii="Arial" w:hAnsi="Arial" w:cs="Arial"/>
          <w:sz w:val="24"/>
          <w:szCs w:val="24"/>
        </w:rPr>
        <w:t>for the</w:t>
      </w:r>
      <w:r w:rsidR="00B60048" w:rsidRPr="00424846">
        <w:rPr>
          <w:rFonts w:ascii="Arial" w:hAnsi="Arial" w:cs="Arial"/>
          <w:sz w:val="24"/>
          <w:szCs w:val="24"/>
        </w:rPr>
        <w:t xml:space="preserve"> TBS</w:t>
      </w:r>
      <w:r w:rsidR="009F509A" w:rsidRPr="00424846">
        <w:rPr>
          <w:rStyle w:val="FootnoteReference"/>
          <w:rFonts w:ascii="Arial" w:hAnsi="Arial" w:cs="Arial"/>
          <w:sz w:val="24"/>
          <w:szCs w:val="24"/>
        </w:rPr>
        <w:footnoteReference w:id="138"/>
      </w:r>
      <w:r w:rsidR="00B60048" w:rsidRPr="00424846">
        <w:rPr>
          <w:rFonts w:ascii="Arial" w:hAnsi="Arial" w:cs="Arial"/>
          <w:sz w:val="24"/>
          <w:szCs w:val="24"/>
        </w:rPr>
        <w:t xml:space="preserve">. </w:t>
      </w:r>
    </w:p>
    <w:p w14:paraId="6D77784B" w14:textId="573DDC80" w:rsidR="0020104D" w:rsidRPr="00424846" w:rsidRDefault="00870F21" w:rsidP="00862139">
      <w:pPr>
        <w:spacing w:line="480" w:lineRule="auto"/>
        <w:jc w:val="both"/>
        <w:rPr>
          <w:rFonts w:ascii="Arial" w:hAnsi="Arial" w:cs="Arial"/>
          <w:sz w:val="24"/>
          <w:szCs w:val="24"/>
        </w:rPr>
      </w:pPr>
      <w:r w:rsidRPr="00424846">
        <w:rPr>
          <w:rFonts w:ascii="Arial" w:hAnsi="Arial" w:cs="Arial"/>
          <w:sz w:val="24"/>
          <w:szCs w:val="24"/>
        </w:rPr>
        <w:t>The Gafgen</w:t>
      </w:r>
      <w:r w:rsidR="00817D68" w:rsidRPr="00424846">
        <w:rPr>
          <w:rStyle w:val="FootnoteReference"/>
          <w:rFonts w:ascii="Arial" w:hAnsi="Arial" w:cs="Arial"/>
          <w:sz w:val="24"/>
          <w:szCs w:val="24"/>
        </w:rPr>
        <w:footnoteReference w:id="139"/>
      </w:r>
      <w:r w:rsidRPr="00424846">
        <w:rPr>
          <w:rFonts w:ascii="Arial" w:hAnsi="Arial" w:cs="Arial"/>
          <w:sz w:val="24"/>
          <w:szCs w:val="24"/>
        </w:rPr>
        <w:t xml:space="preserve"> case</w:t>
      </w:r>
      <w:r w:rsidR="00937289" w:rsidRPr="00424846">
        <w:rPr>
          <w:rFonts w:ascii="Arial" w:hAnsi="Arial" w:cs="Arial"/>
          <w:sz w:val="24"/>
          <w:szCs w:val="24"/>
        </w:rPr>
        <w:t xml:space="preserve"> comes the closest to recreating the T</w:t>
      </w:r>
      <w:r w:rsidR="002B6786" w:rsidRPr="00424846">
        <w:rPr>
          <w:rFonts w:ascii="Arial" w:hAnsi="Arial" w:cs="Arial"/>
          <w:sz w:val="24"/>
          <w:szCs w:val="24"/>
        </w:rPr>
        <w:t>BS</w:t>
      </w:r>
      <w:r w:rsidR="0012104C" w:rsidRPr="00424846">
        <w:rPr>
          <w:rFonts w:ascii="Arial" w:hAnsi="Arial" w:cs="Arial"/>
          <w:sz w:val="24"/>
          <w:szCs w:val="24"/>
        </w:rPr>
        <w:t>, as the</w:t>
      </w:r>
      <w:r w:rsidR="002B6786" w:rsidRPr="00424846">
        <w:rPr>
          <w:rFonts w:ascii="Arial" w:hAnsi="Arial" w:cs="Arial"/>
          <w:sz w:val="24"/>
          <w:szCs w:val="24"/>
        </w:rPr>
        <w:t xml:space="preserve"> case</w:t>
      </w:r>
      <w:r w:rsidR="003913E6" w:rsidRPr="00424846">
        <w:rPr>
          <w:rFonts w:ascii="Arial" w:hAnsi="Arial" w:cs="Arial"/>
          <w:sz w:val="24"/>
          <w:szCs w:val="24"/>
        </w:rPr>
        <w:t xml:space="preserve"> </w:t>
      </w:r>
      <w:r w:rsidR="002B6786" w:rsidRPr="00424846">
        <w:rPr>
          <w:rFonts w:ascii="Arial" w:hAnsi="Arial" w:cs="Arial"/>
          <w:sz w:val="24"/>
          <w:szCs w:val="24"/>
        </w:rPr>
        <w:t>concerned</w:t>
      </w:r>
      <w:r w:rsidR="0012104C" w:rsidRPr="00424846">
        <w:rPr>
          <w:rFonts w:ascii="Arial" w:hAnsi="Arial" w:cs="Arial"/>
          <w:sz w:val="24"/>
          <w:szCs w:val="24"/>
        </w:rPr>
        <w:t xml:space="preserve">, </w:t>
      </w:r>
      <w:r w:rsidR="007716D3" w:rsidRPr="00424846">
        <w:rPr>
          <w:rFonts w:ascii="Arial" w:hAnsi="Arial" w:cs="Arial"/>
          <w:sz w:val="24"/>
          <w:szCs w:val="24"/>
        </w:rPr>
        <w:t xml:space="preserve">the </w:t>
      </w:r>
      <w:r w:rsidR="003913E6" w:rsidRPr="00424846">
        <w:rPr>
          <w:rFonts w:ascii="Arial" w:hAnsi="Arial" w:cs="Arial"/>
          <w:sz w:val="24"/>
          <w:szCs w:val="24"/>
        </w:rPr>
        <w:t xml:space="preserve">kidnapping </w:t>
      </w:r>
      <w:r w:rsidR="002B6786" w:rsidRPr="00424846">
        <w:rPr>
          <w:rFonts w:ascii="Arial" w:hAnsi="Arial" w:cs="Arial"/>
          <w:sz w:val="24"/>
          <w:szCs w:val="24"/>
        </w:rPr>
        <w:t>and ransom</w:t>
      </w:r>
      <w:r w:rsidR="007716D3" w:rsidRPr="00424846">
        <w:rPr>
          <w:rFonts w:ascii="Arial" w:hAnsi="Arial" w:cs="Arial"/>
          <w:sz w:val="24"/>
          <w:szCs w:val="24"/>
        </w:rPr>
        <w:t xml:space="preserve"> of a child</w:t>
      </w:r>
      <w:r w:rsidR="0012104C" w:rsidRPr="00424846">
        <w:rPr>
          <w:rFonts w:ascii="Arial" w:hAnsi="Arial" w:cs="Arial"/>
          <w:sz w:val="24"/>
          <w:szCs w:val="24"/>
        </w:rPr>
        <w:t xml:space="preserve">, </w:t>
      </w:r>
      <w:r w:rsidR="007716D3" w:rsidRPr="00424846">
        <w:rPr>
          <w:rFonts w:ascii="Arial" w:hAnsi="Arial" w:cs="Arial"/>
          <w:sz w:val="24"/>
          <w:szCs w:val="24"/>
        </w:rPr>
        <w:t xml:space="preserve">and </w:t>
      </w:r>
      <w:r w:rsidR="004407AE" w:rsidRPr="00424846">
        <w:rPr>
          <w:rFonts w:ascii="Arial" w:hAnsi="Arial" w:cs="Arial"/>
          <w:sz w:val="24"/>
          <w:szCs w:val="24"/>
        </w:rPr>
        <w:t xml:space="preserve">the </w:t>
      </w:r>
      <w:r w:rsidR="007716D3" w:rsidRPr="00424846">
        <w:rPr>
          <w:rFonts w:ascii="Arial" w:hAnsi="Arial" w:cs="Arial"/>
          <w:sz w:val="24"/>
          <w:szCs w:val="24"/>
        </w:rPr>
        <w:t xml:space="preserve">German </w:t>
      </w:r>
      <w:r w:rsidR="004407AE" w:rsidRPr="00424846">
        <w:rPr>
          <w:rFonts w:ascii="Arial" w:hAnsi="Arial" w:cs="Arial"/>
          <w:sz w:val="24"/>
          <w:szCs w:val="24"/>
        </w:rPr>
        <w:t xml:space="preserve">police threatening </w:t>
      </w:r>
      <w:r w:rsidR="007716D3" w:rsidRPr="00424846">
        <w:rPr>
          <w:rFonts w:ascii="Arial" w:hAnsi="Arial" w:cs="Arial"/>
          <w:sz w:val="24"/>
          <w:szCs w:val="24"/>
        </w:rPr>
        <w:t>to</w:t>
      </w:r>
      <w:r w:rsidR="004407AE" w:rsidRPr="00424846">
        <w:rPr>
          <w:rFonts w:ascii="Arial" w:hAnsi="Arial" w:cs="Arial"/>
          <w:sz w:val="24"/>
          <w:szCs w:val="24"/>
        </w:rPr>
        <w:t xml:space="preserve"> torture</w:t>
      </w:r>
      <w:r w:rsidR="007716D3" w:rsidRPr="00424846">
        <w:rPr>
          <w:rFonts w:ascii="Arial" w:hAnsi="Arial" w:cs="Arial"/>
          <w:sz w:val="24"/>
          <w:szCs w:val="24"/>
        </w:rPr>
        <w:t xml:space="preserve"> the kidnapper to reveal the whereabouts of the child</w:t>
      </w:r>
      <w:r w:rsidR="00A51B89" w:rsidRPr="00424846">
        <w:rPr>
          <w:rFonts w:ascii="Arial" w:hAnsi="Arial" w:cs="Arial"/>
          <w:sz w:val="24"/>
          <w:szCs w:val="24"/>
        </w:rPr>
        <w:t>, w</w:t>
      </w:r>
      <w:r w:rsidR="007716D3" w:rsidRPr="00424846">
        <w:rPr>
          <w:rFonts w:ascii="Arial" w:hAnsi="Arial" w:cs="Arial"/>
          <w:sz w:val="24"/>
          <w:szCs w:val="24"/>
        </w:rPr>
        <w:t xml:space="preserve">hom at that point, was already killed. </w:t>
      </w:r>
      <w:r w:rsidR="0012104C" w:rsidRPr="00424846">
        <w:rPr>
          <w:rFonts w:ascii="Arial" w:hAnsi="Arial" w:cs="Arial"/>
          <w:sz w:val="24"/>
          <w:szCs w:val="24"/>
        </w:rPr>
        <w:t xml:space="preserve">Once the confession was obtained, </w:t>
      </w:r>
      <w:r w:rsidR="00A51B89" w:rsidRPr="00424846">
        <w:rPr>
          <w:rFonts w:ascii="Arial" w:hAnsi="Arial" w:cs="Arial"/>
          <w:sz w:val="24"/>
          <w:szCs w:val="24"/>
        </w:rPr>
        <w:t>t</w:t>
      </w:r>
      <w:r w:rsidR="004407AE" w:rsidRPr="00424846">
        <w:rPr>
          <w:rFonts w:ascii="Arial" w:hAnsi="Arial" w:cs="Arial"/>
          <w:sz w:val="24"/>
          <w:szCs w:val="24"/>
        </w:rPr>
        <w:t xml:space="preserve">he German courts rendered </w:t>
      </w:r>
      <w:r w:rsidR="0012104C" w:rsidRPr="00424846">
        <w:rPr>
          <w:rFonts w:ascii="Arial" w:hAnsi="Arial" w:cs="Arial"/>
          <w:sz w:val="24"/>
          <w:szCs w:val="24"/>
        </w:rPr>
        <w:t>it</w:t>
      </w:r>
      <w:r w:rsidR="004407AE" w:rsidRPr="00424846">
        <w:rPr>
          <w:rFonts w:ascii="Arial" w:hAnsi="Arial" w:cs="Arial"/>
          <w:sz w:val="24"/>
          <w:szCs w:val="24"/>
        </w:rPr>
        <w:t xml:space="preserve"> inadmissible</w:t>
      </w:r>
      <w:r w:rsidR="007716D3" w:rsidRPr="00424846">
        <w:rPr>
          <w:rFonts w:ascii="Arial" w:hAnsi="Arial" w:cs="Arial"/>
          <w:sz w:val="24"/>
          <w:szCs w:val="24"/>
        </w:rPr>
        <w:t xml:space="preserve">, </w:t>
      </w:r>
      <w:r w:rsidR="00A51B89" w:rsidRPr="00424846">
        <w:rPr>
          <w:rFonts w:ascii="Arial" w:hAnsi="Arial" w:cs="Arial"/>
          <w:sz w:val="24"/>
          <w:szCs w:val="24"/>
        </w:rPr>
        <w:t>because</w:t>
      </w:r>
      <w:r w:rsidR="004407AE" w:rsidRPr="00424846">
        <w:rPr>
          <w:rFonts w:ascii="Arial" w:hAnsi="Arial" w:cs="Arial"/>
          <w:sz w:val="24"/>
          <w:szCs w:val="24"/>
        </w:rPr>
        <w:t xml:space="preserve"> </w:t>
      </w:r>
      <w:r w:rsidR="00817D68" w:rsidRPr="00424846">
        <w:rPr>
          <w:rFonts w:ascii="Arial" w:hAnsi="Arial" w:cs="Arial"/>
          <w:sz w:val="24"/>
          <w:szCs w:val="24"/>
        </w:rPr>
        <w:t>it was obtained under duress</w:t>
      </w:r>
      <w:r w:rsidR="004407AE" w:rsidRPr="00424846">
        <w:rPr>
          <w:rFonts w:ascii="Arial" w:hAnsi="Arial" w:cs="Arial"/>
          <w:sz w:val="24"/>
          <w:szCs w:val="24"/>
        </w:rPr>
        <w:t>.</w:t>
      </w:r>
      <w:r w:rsidR="00817D68" w:rsidRPr="00424846">
        <w:rPr>
          <w:rFonts w:ascii="Arial" w:hAnsi="Arial" w:cs="Arial"/>
          <w:sz w:val="24"/>
          <w:szCs w:val="24"/>
        </w:rPr>
        <w:t xml:space="preserve"> Ultimately, convicting the kidnapper</w:t>
      </w:r>
      <w:r w:rsidR="0012104C" w:rsidRPr="00424846">
        <w:rPr>
          <w:rFonts w:ascii="Arial" w:hAnsi="Arial" w:cs="Arial"/>
          <w:sz w:val="24"/>
          <w:szCs w:val="24"/>
        </w:rPr>
        <w:t xml:space="preserve">, without the use of a confession, </w:t>
      </w:r>
      <w:r w:rsidR="00817D68" w:rsidRPr="00424846">
        <w:rPr>
          <w:rFonts w:ascii="Arial" w:hAnsi="Arial" w:cs="Arial"/>
          <w:sz w:val="24"/>
          <w:szCs w:val="24"/>
        </w:rPr>
        <w:t>but failing to save the child</w:t>
      </w:r>
      <w:r w:rsidR="000E7E2B" w:rsidRPr="00424846">
        <w:rPr>
          <w:rStyle w:val="FootnoteReference"/>
          <w:rFonts w:ascii="Arial" w:hAnsi="Arial" w:cs="Arial"/>
          <w:sz w:val="24"/>
          <w:szCs w:val="24"/>
        </w:rPr>
        <w:footnoteReference w:id="140"/>
      </w:r>
      <w:r w:rsidR="00817D68" w:rsidRPr="00424846">
        <w:rPr>
          <w:rFonts w:ascii="Arial" w:hAnsi="Arial" w:cs="Arial"/>
          <w:sz w:val="24"/>
          <w:szCs w:val="24"/>
        </w:rPr>
        <w:t xml:space="preserve">. </w:t>
      </w:r>
      <w:r w:rsidR="00A51B89" w:rsidRPr="00424846">
        <w:rPr>
          <w:rFonts w:ascii="Arial" w:hAnsi="Arial" w:cs="Arial"/>
          <w:sz w:val="24"/>
          <w:szCs w:val="24"/>
        </w:rPr>
        <w:t>This d</w:t>
      </w:r>
      <w:r w:rsidR="0012104C" w:rsidRPr="00424846">
        <w:rPr>
          <w:rFonts w:ascii="Arial" w:hAnsi="Arial" w:cs="Arial"/>
          <w:sz w:val="24"/>
          <w:szCs w:val="24"/>
        </w:rPr>
        <w:t>isplay</w:t>
      </w:r>
      <w:r w:rsidR="00A51B89" w:rsidRPr="00424846">
        <w:rPr>
          <w:rFonts w:ascii="Arial" w:hAnsi="Arial" w:cs="Arial"/>
          <w:sz w:val="24"/>
          <w:szCs w:val="24"/>
        </w:rPr>
        <w:t>s</w:t>
      </w:r>
      <w:r w:rsidR="00817D68" w:rsidRPr="00424846">
        <w:rPr>
          <w:rFonts w:ascii="Arial" w:hAnsi="Arial" w:cs="Arial"/>
          <w:sz w:val="24"/>
          <w:szCs w:val="24"/>
        </w:rPr>
        <w:t xml:space="preserve"> how the TBS would </w:t>
      </w:r>
      <w:r w:rsidR="00965733" w:rsidRPr="00424846">
        <w:rPr>
          <w:rFonts w:ascii="Arial" w:hAnsi="Arial" w:cs="Arial"/>
          <w:sz w:val="24"/>
          <w:szCs w:val="24"/>
        </w:rPr>
        <w:t>operate, where</w:t>
      </w:r>
      <w:r w:rsidR="00817D68" w:rsidRPr="00424846">
        <w:rPr>
          <w:rFonts w:ascii="Arial" w:hAnsi="Arial" w:cs="Arial"/>
          <w:sz w:val="24"/>
          <w:szCs w:val="24"/>
        </w:rPr>
        <w:t xml:space="preserve"> the multiple facto</w:t>
      </w:r>
      <w:r w:rsidR="0012104C" w:rsidRPr="00424846">
        <w:rPr>
          <w:rFonts w:ascii="Arial" w:hAnsi="Arial" w:cs="Arial"/>
          <w:sz w:val="24"/>
          <w:szCs w:val="24"/>
        </w:rPr>
        <w:t>r</w:t>
      </w:r>
      <w:r w:rsidR="00817D68" w:rsidRPr="00424846">
        <w:rPr>
          <w:rFonts w:ascii="Arial" w:hAnsi="Arial" w:cs="Arial"/>
          <w:sz w:val="24"/>
          <w:szCs w:val="24"/>
        </w:rPr>
        <w:t>s</w:t>
      </w:r>
      <w:r w:rsidR="0012104C" w:rsidRPr="00424846">
        <w:rPr>
          <w:rFonts w:ascii="Arial" w:hAnsi="Arial" w:cs="Arial"/>
          <w:sz w:val="24"/>
          <w:szCs w:val="24"/>
        </w:rPr>
        <w:t xml:space="preserve"> </w:t>
      </w:r>
      <w:r w:rsidR="00817D68" w:rsidRPr="00424846">
        <w:rPr>
          <w:rFonts w:ascii="Arial" w:hAnsi="Arial" w:cs="Arial"/>
          <w:sz w:val="24"/>
          <w:szCs w:val="24"/>
        </w:rPr>
        <w:t>out of the</w:t>
      </w:r>
      <w:r w:rsidR="0012104C" w:rsidRPr="00424846">
        <w:rPr>
          <w:rFonts w:ascii="Arial" w:hAnsi="Arial" w:cs="Arial"/>
          <w:sz w:val="24"/>
          <w:szCs w:val="24"/>
        </w:rPr>
        <w:t>ir</w:t>
      </w:r>
      <w:r w:rsidR="00817D68" w:rsidRPr="00424846">
        <w:rPr>
          <w:rFonts w:ascii="Arial" w:hAnsi="Arial" w:cs="Arial"/>
          <w:sz w:val="24"/>
          <w:szCs w:val="24"/>
        </w:rPr>
        <w:t xml:space="preserve"> control, </w:t>
      </w:r>
      <w:r w:rsidR="0012104C" w:rsidRPr="00424846">
        <w:rPr>
          <w:rFonts w:ascii="Arial" w:hAnsi="Arial" w:cs="Arial"/>
          <w:sz w:val="24"/>
          <w:szCs w:val="24"/>
        </w:rPr>
        <w:t>makes it impossible to</w:t>
      </w:r>
      <w:r w:rsidR="00817D68" w:rsidRPr="00424846">
        <w:rPr>
          <w:rFonts w:ascii="Arial" w:hAnsi="Arial" w:cs="Arial"/>
          <w:sz w:val="24"/>
          <w:szCs w:val="24"/>
        </w:rPr>
        <w:t xml:space="preserve"> protect innocent </w:t>
      </w:r>
      <w:r w:rsidR="00A51B89" w:rsidRPr="00424846">
        <w:rPr>
          <w:rFonts w:ascii="Arial" w:hAnsi="Arial" w:cs="Arial"/>
          <w:sz w:val="24"/>
          <w:szCs w:val="24"/>
        </w:rPr>
        <w:t>civilians</w:t>
      </w:r>
      <w:r w:rsidR="00817D68" w:rsidRPr="00424846">
        <w:rPr>
          <w:rFonts w:ascii="Arial" w:hAnsi="Arial" w:cs="Arial"/>
          <w:sz w:val="24"/>
          <w:szCs w:val="24"/>
        </w:rPr>
        <w:t xml:space="preserve">. Excluding the numerous </w:t>
      </w:r>
      <w:r w:rsidR="00B27A74" w:rsidRPr="00424846">
        <w:rPr>
          <w:rFonts w:ascii="Arial" w:hAnsi="Arial" w:cs="Arial"/>
          <w:sz w:val="24"/>
          <w:szCs w:val="24"/>
        </w:rPr>
        <w:t>people’s</w:t>
      </w:r>
      <w:r w:rsidR="00817D68" w:rsidRPr="00424846">
        <w:rPr>
          <w:rFonts w:ascii="Arial" w:hAnsi="Arial" w:cs="Arial"/>
          <w:sz w:val="24"/>
          <w:szCs w:val="24"/>
        </w:rPr>
        <w:t xml:space="preserve"> lives at risk, this mirrors the TBS and shows how torture, or the threat of it, is not </w:t>
      </w:r>
      <w:r w:rsidR="00B51579" w:rsidRPr="00424846">
        <w:rPr>
          <w:rFonts w:ascii="Arial" w:hAnsi="Arial" w:cs="Arial"/>
          <w:sz w:val="24"/>
          <w:szCs w:val="24"/>
        </w:rPr>
        <w:t xml:space="preserve">capable of stopping </w:t>
      </w:r>
      <w:r w:rsidR="0012104C" w:rsidRPr="00424846">
        <w:rPr>
          <w:rFonts w:ascii="Arial" w:hAnsi="Arial" w:cs="Arial"/>
          <w:sz w:val="24"/>
          <w:szCs w:val="24"/>
        </w:rPr>
        <w:t>an</w:t>
      </w:r>
      <w:r w:rsidR="00B51579" w:rsidRPr="00424846">
        <w:rPr>
          <w:rFonts w:ascii="Arial" w:hAnsi="Arial" w:cs="Arial"/>
          <w:sz w:val="24"/>
          <w:szCs w:val="24"/>
        </w:rPr>
        <w:t xml:space="preserve"> attack and saving people</w:t>
      </w:r>
      <w:r w:rsidR="00B27A74" w:rsidRPr="00424846">
        <w:rPr>
          <w:rFonts w:ascii="Arial" w:hAnsi="Arial" w:cs="Arial"/>
          <w:sz w:val="24"/>
          <w:szCs w:val="24"/>
        </w:rPr>
        <w:t>’</w:t>
      </w:r>
      <w:r w:rsidR="0012104C" w:rsidRPr="00424846">
        <w:rPr>
          <w:rFonts w:ascii="Arial" w:hAnsi="Arial" w:cs="Arial"/>
          <w:sz w:val="24"/>
          <w:szCs w:val="24"/>
        </w:rPr>
        <w:t>s lives</w:t>
      </w:r>
      <w:r w:rsidR="00B27A74" w:rsidRPr="00424846">
        <w:rPr>
          <w:rFonts w:ascii="Arial" w:hAnsi="Arial" w:cs="Arial"/>
          <w:sz w:val="24"/>
          <w:szCs w:val="24"/>
        </w:rPr>
        <w:t xml:space="preserve">, </w:t>
      </w:r>
      <w:r w:rsidR="00B51579" w:rsidRPr="00424846">
        <w:rPr>
          <w:rFonts w:ascii="Arial" w:hAnsi="Arial" w:cs="Arial"/>
          <w:sz w:val="24"/>
          <w:szCs w:val="24"/>
        </w:rPr>
        <w:t xml:space="preserve">lending legitimacy to </w:t>
      </w:r>
      <w:r w:rsidR="00B27A74" w:rsidRPr="00424846">
        <w:rPr>
          <w:rFonts w:ascii="Arial" w:hAnsi="Arial" w:cs="Arial"/>
          <w:sz w:val="24"/>
          <w:szCs w:val="24"/>
        </w:rPr>
        <w:t xml:space="preserve">Rodley’s </w:t>
      </w:r>
      <w:r w:rsidR="00B51579" w:rsidRPr="00424846">
        <w:rPr>
          <w:rFonts w:ascii="Arial" w:hAnsi="Arial" w:cs="Arial"/>
          <w:sz w:val="24"/>
          <w:szCs w:val="24"/>
        </w:rPr>
        <w:t>criticism that the TBS is unrealistic</w:t>
      </w:r>
      <w:r w:rsidR="000E7E2B" w:rsidRPr="00424846">
        <w:rPr>
          <w:rStyle w:val="FootnoteReference"/>
          <w:rFonts w:ascii="Arial" w:hAnsi="Arial" w:cs="Arial"/>
          <w:sz w:val="24"/>
          <w:szCs w:val="24"/>
        </w:rPr>
        <w:footnoteReference w:id="141"/>
      </w:r>
      <w:r w:rsidR="00B27A74" w:rsidRPr="00424846">
        <w:rPr>
          <w:rFonts w:ascii="Arial" w:hAnsi="Arial" w:cs="Arial"/>
          <w:sz w:val="24"/>
          <w:szCs w:val="24"/>
        </w:rPr>
        <w:t xml:space="preserve">. </w:t>
      </w:r>
    </w:p>
    <w:p w14:paraId="5A2458AA" w14:textId="77777777" w:rsidR="001C7F4F" w:rsidRPr="00424846" w:rsidRDefault="001C7F4F" w:rsidP="00862139">
      <w:pPr>
        <w:spacing w:line="480" w:lineRule="auto"/>
        <w:jc w:val="both"/>
        <w:rPr>
          <w:rFonts w:ascii="Arial" w:hAnsi="Arial" w:cs="Arial"/>
          <w:sz w:val="24"/>
          <w:szCs w:val="24"/>
        </w:rPr>
      </w:pPr>
    </w:p>
    <w:p w14:paraId="140D3F14" w14:textId="77777777" w:rsidR="00B017D7" w:rsidRDefault="00B017D7" w:rsidP="00862139">
      <w:pPr>
        <w:spacing w:line="480" w:lineRule="auto"/>
        <w:jc w:val="both"/>
        <w:rPr>
          <w:rFonts w:ascii="Arial" w:hAnsi="Arial" w:cs="Arial"/>
          <w:sz w:val="24"/>
          <w:szCs w:val="24"/>
        </w:rPr>
      </w:pPr>
    </w:p>
    <w:p w14:paraId="4EBEC2D4" w14:textId="77777777" w:rsidR="00B017D7" w:rsidRDefault="00B017D7" w:rsidP="00862139">
      <w:pPr>
        <w:spacing w:line="480" w:lineRule="auto"/>
        <w:jc w:val="both"/>
        <w:rPr>
          <w:rFonts w:ascii="Arial" w:hAnsi="Arial" w:cs="Arial"/>
          <w:sz w:val="24"/>
          <w:szCs w:val="24"/>
        </w:rPr>
      </w:pPr>
    </w:p>
    <w:p w14:paraId="01169864" w14:textId="77777777" w:rsidR="00B017D7" w:rsidRDefault="00B017D7" w:rsidP="00862139">
      <w:pPr>
        <w:spacing w:line="480" w:lineRule="auto"/>
        <w:jc w:val="both"/>
        <w:rPr>
          <w:rFonts w:ascii="Arial" w:hAnsi="Arial" w:cs="Arial"/>
          <w:sz w:val="24"/>
          <w:szCs w:val="24"/>
        </w:rPr>
      </w:pPr>
    </w:p>
    <w:p w14:paraId="7F01B456" w14:textId="77777777" w:rsidR="00B017D7" w:rsidRDefault="00B017D7" w:rsidP="00862139">
      <w:pPr>
        <w:spacing w:line="480" w:lineRule="auto"/>
        <w:jc w:val="both"/>
        <w:rPr>
          <w:rFonts w:ascii="Arial" w:hAnsi="Arial" w:cs="Arial"/>
          <w:sz w:val="24"/>
          <w:szCs w:val="24"/>
        </w:rPr>
      </w:pPr>
    </w:p>
    <w:p w14:paraId="0E4B4B5C" w14:textId="77777777" w:rsidR="00B017D7" w:rsidRDefault="00B017D7" w:rsidP="00862139">
      <w:pPr>
        <w:spacing w:line="480" w:lineRule="auto"/>
        <w:jc w:val="both"/>
        <w:rPr>
          <w:rFonts w:ascii="Arial" w:hAnsi="Arial" w:cs="Arial"/>
          <w:sz w:val="24"/>
          <w:szCs w:val="24"/>
        </w:rPr>
      </w:pPr>
    </w:p>
    <w:p w14:paraId="42BCB456" w14:textId="6F6EF21E" w:rsidR="00937289" w:rsidRPr="00B017D7" w:rsidRDefault="00937289" w:rsidP="00B017D7">
      <w:pPr>
        <w:spacing w:line="480" w:lineRule="auto"/>
        <w:jc w:val="center"/>
        <w:rPr>
          <w:rFonts w:ascii="Arial" w:hAnsi="Arial" w:cs="Arial"/>
          <w:b/>
          <w:bCs/>
          <w:sz w:val="24"/>
          <w:szCs w:val="24"/>
          <w:u w:val="single"/>
        </w:rPr>
      </w:pPr>
      <w:r w:rsidRPr="00B017D7">
        <w:rPr>
          <w:rFonts w:ascii="Arial" w:hAnsi="Arial" w:cs="Arial"/>
          <w:b/>
          <w:bCs/>
          <w:sz w:val="24"/>
          <w:szCs w:val="24"/>
          <w:u w:val="single"/>
        </w:rPr>
        <w:lastRenderedPageBreak/>
        <w:t>War on Terror:</w:t>
      </w:r>
    </w:p>
    <w:p w14:paraId="0ED41765" w14:textId="77777777" w:rsidR="00322BD3" w:rsidRPr="00424846" w:rsidRDefault="00937289" w:rsidP="00862139">
      <w:pPr>
        <w:spacing w:line="480" w:lineRule="auto"/>
        <w:jc w:val="both"/>
        <w:rPr>
          <w:rFonts w:ascii="Arial" w:hAnsi="Arial" w:cs="Arial"/>
          <w:sz w:val="24"/>
          <w:szCs w:val="24"/>
        </w:rPr>
      </w:pPr>
      <w:r w:rsidRPr="00424846">
        <w:rPr>
          <w:rFonts w:ascii="Arial" w:hAnsi="Arial" w:cs="Arial"/>
          <w:sz w:val="24"/>
          <w:szCs w:val="24"/>
        </w:rPr>
        <w:t>We cannot assess the creditability of torture</w:t>
      </w:r>
      <w:r w:rsidR="00D37717" w:rsidRPr="00424846">
        <w:rPr>
          <w:rFonts w:ascii="Arial" w:hAnsi="Arial" w:cs="Arial"/>
          <w:sz w:val="24"/>
          <w:szCs w:val="24"/>
        </w:rPr>
        <w:t xml:space="preserve">, </w:t>
      </w:r>
      <w:r w:rsidRPr="00424846">
        <w:rPr>
          <w:rFonts w:ascii="Arial" w:hAnsi="Arial" w:cs="Arial"/>
          <w:sz w:val="24"/>
          <w:szCs w:val="24"/>
        </w:rPr>
        <w:t>as a method of obtaining information</w:t>
      </w:r>
      <w:r w:rsidR="00D37717" w:rsidRPr="00424846">
        <w:rPr>
          <w:rFonts w:ascii="Arial" w:hAnsi="Arial" w:cs="Arial"/>
          <w:sz w:val="24"/>
          <w:szCs w:val="24"/>
        </w:rPr>
        <w:t xml:space="preserve">, </w:t>
      </w:r>
      <w:r w:rsidRPr="00424846">
        <w:rPr>
          <w:rFonts w:ascii="Arial" w:hAnsi="Arial" w:cs="Arial"/>
          <w:sz w:val="24"/>
          <w:szCs w:val="24"/>
        </w:rPr>
        <w:t xml:space="preserve">without considering the ‘War </w:t>
      </w:r>
      <w:r w:rsidR="00E754C7" w:rsidRPr="00424846">
        <w:rPr>
          <w:rFonts w:ascii="Arial" w:hAnsi="Arial" w:cs="Arial"/>
          <w:sz w:val="24"/>
          <w:szCs w:val="24"/>
        </w:rPr>
        <w:t>on</w:t>
      </w:r>
      <w:r w:rsidRPr="00424846">
        <w:rPr>
          <w:rFonts w:ascii="Arial" w:hAnsi="Arial" w:cs="Arial"/>
          <w:sz w:val="24"/>
          <w:szCs w:val="24"/>
        </w:rPr>
        <w:t xml:space="preserve"> terror’ period</w:t>
      </w:r>
      <w:r w:rsidR="00E754C7" w:rsidRPr="00424846">
        <w:rPr>
          <w:rFonts w:ascii="Arial" w:hAnsi="Arial" w:cs="Arial"/>
          <w:sz w:val="24"/>
          <w:szCs w:val="24"/>
        </w:rPr>
        <w:t xml:space="preserve">. </w:t>
      </w:r>
    </w:p>
    <w:p w14:paraId="3F55E3CC" w14:textId="29A1679A" w:rsidR="00C573E8" w:rsidRPr="00424846" w:rsidRDefault="00535D46" w:rsidP="00862139">
      <w:pPr>
        <w:spacing w:line="480" w:lineRule="auto"/>
        <w:jc w:val="both"/>
        <w:rPr>
          <w:rFonts w:ascii="Arial" w:hAnsi="Arial" w:cs="Arial"/>
          <w:sz w:val="24"/>
          <w:szCs w:val="24"/>
        </w:rPr>
      </w:pPr>
      <w:r w:rsidRPr="00424846">
        <w:rPr>
          <w:rFonts w:ascii="Arial" w:hAnsi="Arial" w:cs="Arial"/>
          <w:sz w:val="24"/>
          <w:szCs w:val="24"/>
        </w:rPr>
        <w:t xml:space="preserve">Borum argues that there is no credibility, nor, evidence that even indicates that torture, used by the state, is effective in delivering reliable information or a confession </w:t>
      </w:r>
      <w:proofErr w:type="gramStart"/>
      <w:r w:rsidRPr="00424846">
        <w:rPr>
          <w:rFonts w:ascii="Arial" w:hAnsi="Arial" w:cs="Arial"/>
          <w:sz w:val="24"/>
          <w:szCs w:val="24"/>
        </w:rPr>
        <w:t>sufficient</w:t>
      </w:r>
      <w:r w:rsidR="00EC2388" w:rsidRPr="00424846">
        <w:rPr>
          <w:rFonts w:ascii="Arial" w:hAnsi="Arial" w:cs="Arial"/>
          <w:sz w:val="24"/>
          <w:szCs w:val="24"/>
        </w:rPr>
        <w:t xml:space="preserve"> </w:t>
      </w:r>
      <w:r w:rsidRPr="00424846">
        <w:rPr>
          <w:rFonts w:ascii="Arial" w:hAnsi="Arial" w:cs="Arial"/>
          <w:sz w:val="24"/>
          <w:szCs w:val="24"/>
        </w:rPr>
        <w:t>enough</w:t>
      </w:r>
      <w:proofErr w:type="gramEnd"/>
      <w:r w:rsidRPr="00424846">
        <w:rPr>
          <w:rFonts w:ascii="Arial" w:hAnsi="Arial" w:cs="Arial"/>
          <w:sz w:val="24"/>
          <w:szCs w:val="24"/>
        </w:rPr>
        <w:t xml:space="preserve"> to secure a conviction</w:t>
      </w:r>
      <w:r w:rsidRPr="00424846">
        <w:rPr>
          <w:rStyle w:val="FootnoteReference"/>
          <w:rFonts w:ascii="Arial" w:hAnsi="Arial" w:cs="Arial"/>
          <w:sz w:val="24"/>
          <w:szCs w:val="24"/>
        </w:rPr>
        <w:footnoteReference w:id="142"/>
      </w:r>
      <w:r w:rsidRPr="00424846">
        <w:rPr>
          <w:rFonts w:ascii="Arial" w:hAnsi="Arial" w:cs="Arial"/>
          <w:sz w:val="24"/>
          <w:szCs w:val="24"/>
        </w:rPr>
        <w:t xml:space="preserve">. This can be seen, when </w:t>
      </w:r>
      <w:r w:rsidR="00E754C7" w:rsidRPr="00424846">
        <w:rPr>
          <w:rFonts w:ascii="Arial" w:hAnsi="Arial" w:cs="Arial"/>
          <w:sz w:val="24"/>
          <w:szCs w:val="24"/>
        </w:rPr>
        <w:t>Saudi Security forces were interrogating possible Al-Qai’idah members to obtain information about the 9/11 attacks,</w:t>
      </w:r>
      <w:r w:rsidRPr="00424846">
        <w:rPr>
          <w:rFonts w:ascii="Arial" w:hAnsi="Arial" w:cs="Arial"/>
          <w:sz w:val="24"/>
          <w:szCs w:val="24"/>
        </w:rPr>
        <w:t xml:space="preserve"> and </w:t>
      </w:r>
      <w:r w:rsidR="00E754C7" w:rsidRPr="00424846">
        <w:rPr>
          <w:rFonts w:ascii="Arial" w:hAnsi="Arial" w:cs="Arial"/>
          <w:sz w:val="24"/>
          <w:szCs w:val="24"/>
        </w:rPr>
        <w:t>found that ‘some terrorists could be made to cooperate through the use of clerics’ convinc</w:t>
      </w:r>
      <w:r w:rsidR="00322BD3" w:rsidRPr="00424846">
        <w:rPr>
          <w:rFonts w:ascii="Arial" w:hAnsi="Arial" w:cs="Arial"/>
          <w:sz w:val="24"/>
          <w:szCs w:val="24"/>
        </w:rPr>
        <w:t xml:space="preserve">ing </w:t>
      </w:r>
      <w:r w:rsidR="00E754C7" w:rsidRPr="00424846">
        <w:rPr>
          <w:rFonts w:ascii="Arial" w:hAnsi="Arial" w:cs="Arial"/>
          <w:sz w:val="24"/>
          <w:szCs w:val="24"/>
        </w:rPr>
        <w:t xml:space="preserve">them that their motivations </w:t>
      </w:r>
      <w:r w:rsidR="00322BD3" w:rsidRPr="00424846">
        <w:rPr>
          <w:rFonts w:ascii="Arial" w:hAnsi="Arial" w:cs="Arial"/>
          <w:sz w:val="24"/>
          <w:szCs w:val="24"/>
        </w:rPr>
        <w:t>are</w:t>
      </w:r>
      <w:r w:rsidR="00E754C7" w:rsidRPr="00424846">
        <w:rPr>
          <w:rFonts w:ascii="Arial" w:hAnsi="Arial" w:cs="Arial"/>
          <w:sz w:val="24"/>
          <w:szCs w:val="24"/>
        </w:rPr>
        <w:t xml:space="preserve"> not in line with</w:t>
      </w:r>
      <w:r w:rsidR="00322BD3" w:rsidRPr="00424846">
        <w:rPr>
          <w:rFonts w:ascii="Arial" w:hAnsi="Arial" w:cs="Arial"/>
          <w:sz w:val="24"/>
          <w:szCs w:val="24"/>
        </w:rPr>
        <w:t xml:space="preserve"> commonly</w:t>
      </w:r>
      <w:r w:rsidR="00E754C7" w:rsidRPr="00424846">
        <w:rPr>
          <w:rFonts w:ascii="Arial" w:hAnsi="Arial" w:cs="Arial"/>
          <w:sz w:val="24"/>
          <w:szCs w:val="24"/>
        </w:rPr>
        <w:t xml:space="preserve"> shared belief </w:t>
      </w:r>
      <w:r w:rsidR="003C6B9C" w:rsidRPr="00424846">
        <w:rPr>
          <w:rFonts w:ascii="Arial" w:hAnsi="Arial" w:cs="Arial"/>
          <w:sz w:val="24"/>
          <w:szCs w:val="24"/>
        </w:rPr>
        <w:t>system</w:t>
      </w:r>
      <w:r w:rsidR="00322BD3" w:rsidRPr="00424846">
        <w:rPr>
          <w:rFonts w:ascii="Arial" w:hAnsi="Arial" w:cs="Arial"/>
          <w:sz w:val="24"/>
          <w:szCs w:val="24"/>
        </w:rPr>
        <w:t>s</w:t>
      </w:r>
      <w:r w:rsidR="003C6B9C" w:rsidRPr="00424846">
        <w:rPr>
          <w:rFonts w:ascii="Arial" w:hAnsi="Arial" w:cs="Arial"/>
          <w:sz w:val="24"/>
          <w:szCs w:val="24"/>
        </w:rPr>
        <w:t>,</w:t>
      </w:r>
      <w:r w:rsidR="00DF1F8C" w:rsidRPr="00424846">
        <w:rPr>
          <w:rFonts w:ascii="Arial" w:hAnsi="Arial" w:cs="Arial"/>
          <w:sz w:val="24"/>
          <w:szCs w:val="24"/>
        </w:rPr>
        <w:t xml:space="preserve"> causing</w:t>
      </w:r>
      <w:r w:rsidR="003C6B9C" w:rsidRPr="00424846">
        <w:rPr>
          <w:rFonts w:ascii="Arial" w:hAnsi="Arial" w:cs="Arial"/>
          <w:sz w:val="24"/>
          <w:szCs w:val="24"/>
        </w:rPr>
        <w:t xml:space="preserve"> </w:t>
      </w:r>
      <w:r w:rsidR="00DF1F8C" w:rsidRPr="00424846">
        <w:rPr>
          <w:rFonts w:ascii="Arial" w:hAnsi="Arial" w:cs="Arial"/>
          <w:sz w:val="24"/>
          <w:szCs w:val="24"/>
        </w:rPr>
        <w:t xml:space="preserve">them to voluntarily submit valuable information </w:t>
      </w:r>
      <w:r w:rsidR="00652BF5" w:rsidRPr="00424846">
        <w:rPr>
          <w:rFonts w:ascii="Arial" w:hAnsi="Arial" w:cs="Arial"/>
          <w:sz w:val="24"/>
          <w:szCs w:val="24"/>
        </w:rPr>
        <w:t xml:space="preserve">that proved to be much more reliable than </w:t>
      </w:r>
      <w:r w:rsidRPr="00424846">
        <w:rPr>
          <w:rFonts w:ascii="Arial" w:hAnsi="Arial" w:cs="Arial"/>
          <w:sz w:val="24"/>
          <w:szCs w:val="24"/>
        </w:rPr>
        <w:t>the information obtained by torture</w:t>
      </w:r>
      <w:r w:rsidR="00C573E8" w:rsidRPr="00424846">
        <w:rPr>
          <w:rStyle w:val="FootnoteReference"/>
          <w:rFonts w:ascii="Arial" w:hAnsi="Arial" w:cs="Arial"/>
          <w:sz w:val="24"/>
          <w:szCs w:val="24"/>
        </w:rPr>
        <w:footnoteReference w:id="143"/>
      </w:r>
      <w:r w:rsidRPr="00424846">
        <w:rPr>
          <w:rFonts w:ascii="Arial" w:hAnsi="Arial" w:cs="Arial"/>
          <w:sz w:val="24"/>
          <w:szCs w:val="24"/>
        </w:rPr>
        <w:t>. Suggesting</w:t>
      </w:r>
      <w:r w:rsidR="003C6B9C" w:rsidRPr="00424846">
        <w:rPr>
          <w:rFonts w:ascii="Arial" w:hAnsi="Arial" w:cs="Arial"/>
          <w:sz w:val="24"/>
          <w:szCs w:val="24"/>
        </w:rPr>
        <w:t xml:space="preserve"> that </w:t>
      </w:r>
      <w:r w:rsidRPr="00424846">
        <w:rPr>
          <w:rFonts w:ascii="Arial" w:hAnsi="Arial" w:cs="Arial"/>
          <w:sz w:val="24"/>
          <w:szCs w:val="24"/>
        </w:rPr>
        <w:t>interacting with their</w:t>
      </w:r>
      <w:r w:rsidR="003C6B9C" w:rsidRPr="00424846">
        <w:rPr>
          <w:rFonts w:ascii="Arial" w:hAnsi="Arial" w:cs="Arial"/>
          <w:sz w:val="24"/>
          <w:szCs w:val="24"/>
        </w:rPr>
        <w:t xml:space="preserve"> ideological beliefs </w:t>
      </w:r>
      <w:r w:rsidRPr="00424846">
        <w:rPr>
          <w:rFonts w:ascii="Arial" w:hAnsi="Arial" w:cs="Arial"/>
          <w:sz w:val="24"/>
          <w:szCs w:val="24"/>
        </w:rPr>
        <w:t>produces a better outcome than torturing does.</w:t>
      </w:r>
      <w:r w:rsidR="003C6B9C" w:rsidRPr="00424846">
        <w:rPr>
          <w:rFonts w:ascii="Arial" w:hAnsi="Arial" w:cs="Arial"/>
          <w:sz w:val="24"/>
          <w:szCs w:val="24"/>
        </w:rPr>
        <w:t xml:space="preserve"> </w:t>
      </w:r>
    </w:p>
    <w:p w14:paraId="2E07DE4B" w14:textId="29549761" w:rsidR="003C6B9C" w:rsidRPr="00424846" w:rsidRDefault="00535D46" w:rsidP="00862139">
      <w:pPr>
        <w:spacing w:line="480" w:lineRule="auto"/>
        <w:jc w:val="both"/>
        <w:rPr>
          <w:rFonts w:ascii="Arial" w:hAnsi="Arial" w:cs="Arial"/>
          <w:sz w:val="24"/>
          <w:szCs w:val="24"/>
        </w:rPr>
      </w:pPr>
      <w:r w:rsidRPr="00424846">
        <w:rPr>
          <w:rFonts w:ascii="Arial" w:hAnsi="Arial" w:cs="Arial"/>
          <w:sz w:val="24"/>
          <w:szCs w:val="24"/>
        </w:rPr>
        <w:t>On the other hand,</w:t>
      </w:r>
      <w:r w:rsidR="003C6B9C" w:rsidRPr="00424846">
        <w:rPr>
          <w:rFonts w:ascii="Arial" w:hAnsi="Arial" w:cs="Arial"/>
          <w:sz w:val="24"/>
          <w:szCs w:val="24"/>
        </w:rPr>
        <w:t xml:space="preserve"> </w:t>
      </w:r>
      <w:r w:rsidRPr="00424846">
        <w:rPr>
          <w:rFonts w:ascii="Arial" w:hAnsi="Arial" w:cs="Arial"/>
          <w:sz w:val="24"/>
          <w:szCs w:val="24"/>
        </w:rPr>
        <w:t xml:space="preserve">this </w:t>
      </w:r>
      <w:r w:rsidR="00EC2388" w:rsidRPr="00424846">
        <w:rPr>
          <w:rFonts w:ascii="Arial" w:hAnsi="Arial" w:cs="Arial"/>
          <w:sz w:val="24"/>
          <w:szCs w:val="24"/>
        </w:rPr>
        <w:t xml:space="preserve">notion has been </w:t>
      </w:r>
      <w:r w:rsidR="003C6B9C" w:rsidRPr="00424846">
        <w:rPr>
          <w:rFonts w:ascii="Arial" w:hAnsi="Arial" w:cs="Arial"/>
          <w:sz w:val="24"/>
          <w:szCs w:val="24"/>
        </w:rPr>
        <w:t>heavily criticised</w:t>
      </w:r>
      <w:r w:rsidR="00EC2388" w:rsidRPr="00424846">
        <w:rPr>
          <w:rFonts w:ascii="Arial" w:hAnsi="Arial" w:cs="Arial"/>
          <w:sz w:val="24"/>
          <w:szCs w:val="24"/>
        </w:rPr>
        <w:t xml:space="preserve"> </w:t>
      </w:r>
      <w:r w:rsidR="003C6B9C" w:rsidRPr="00424846">
        <w:rPr>
          <w:rFonts w:ascii="Arial" w:hAnsi="Arial" w:cs="Arial"/>
          <w:sz w:val="24"/>
          <w:szCs w:val="24"/>
        </w:rPr>
        <w:t>as it expect</w:t>
      </w:r>
      <w:r w:rsidR="00EC2388" w:rsidRPr="00424846">
        <w:rPr>
          <w:rFonts w:ascii="Arial" w:hAnsi="Arial" w:cs="Arial"/>
          <w:sz w:val="24"/>
          <w:szCs w:val="24"/>
        </w:rPr>
        <w:t>s</w:t>
      </w:r>
      <w:r w:rsidRPr="00424846">
        <w:rPr>
          <w:rFonts w:ascii="Arial" w:hAnsi="Arial" w:cs="Arial"/>
          <w:sz w:val="24"/>
          <w:szCs w:val="24"/>
        </w:rPr>
        <w:t xml:space="preserve"> </w:t>
      </w:r>
      <w:r w:rsidR="003C6B9C" w:rsidRPr="00424846">
        <w:rPr>
          <w:rFonts w:ascii="Arial" w:hAnsi="Arial" w:cs="Arial"/>
          <w:sz w:val="24"/>
          <w:szCs w:val="24"/>
        </w:rPr>
        <w:t xml:space="preserve">officials to make sense of the corrupt ideological and political reasons terrorists </w:t>
      </w:r>
      <w:r w:rsidR="00EC2388" w:rsidRPr="00424846">
        <w:rPr>
          <w:rFonts w:ascii="Arial" w:hAnsi="Arial" w:cs="Arial"/>
          <w:sz w:val="24"/>
          <w:szCs w:val="24"/>
        </w:rPr>
        <w:t>hold, under the assumption that the terrorist’s aggression is misguided and, if only, spoken to, he would do better. W</w:t>
      </w:r>
      <w:r w:rsidR="003C6B9C" w:rsidRPr="00424846">
        <w:rPr>
          <w:rFonts w:ascii="Arial" w:hAnsi="Arial" w:cs="Arial"/>
          <w:sz w:val="24"/>
          <w:szCs w:val="24"/>
        </w:rPr>
        <w:t xml:space="preserve">hen </w:t>
      </w:r>
      <w:r w:rsidR="00EC2388" w:rsidRPr="00424846">
        <w:rPr>
          <w:rFonts w:ascii="Arial" w:hAnsi="Arial" w:cs="Arial"/>
          <w:sz w:val="24"/>
          <w:szCs w:val="24"/>
        </w:rPr>
        <w:t>probably, their</w:t>
      </w:r>
      <w:r w:rsidR="003C6B9C" w:rsidRPr="00424846">
        <w:rPr>
          <w:rFonts w:ascii="Arial" w:hAnsi="Arial" w:cs="Arial"/>
          <w:sz w:val="24"/>
          <w:szCs w:val="24"/>
        </w:rPr>
        <w:t xml:space="preserve"> conviction </w:t>
      </w:r>
      <w:r w:rsidR="00EC2388" w:rsidRPr="00424846">
        <w:rPr>
          <w:rFonts w:ascii="Arial" w:hAnsi="Arial" w:cs="Arial"/>
          <w:sz w:val="24"/>
          <w:szCs w:val="24"/>
        </w:rPr>
        <w:t>is so unyielding</w:t>
      </w:r>
      <w:r w:rsidR="003C6B9C" w:rsidRPr="00424846">
        <w:rPr>
          <w:rFonts w:ascii="Arial" w:hAnsi="Arial" w:cs="Arial"/>
          <w:sz w:val="24"/>
          <w:szCs w:val="24"/>
        </w:rPr>
        <w:t xml:space="preserve"> </w:t>
      </w:r>
      <w:r w:rsidR="000D1A72" w:rsidRPr="00424846">
        <w:rPr>
          <w:rFonts w:ascii="Arial" w:hAnsi="Arial" w:cs="Arial"/>
          <w:sz w:val="24"/>
          <w:szCs w:val="24"/>
        </w:rPr>
        <w:t>that</w:t>
      </w:r>
      <w:r w:rsidR="00D04997" w:rsidRPr="00424846">
        <w:rPr>
          <w:rFonts w:ascii="Arial" w:hAnsi="Arial" w:cs="Arial"/>
          <w:sz w:val="24"/>
          <w:szCs w:val="24"/>
        </w:rPr>
        <w:t xml:space="preserve"> </w:t>
      </w:r>
      <w:r w:rsidR="000D1A72" w:rsidRPr="00424846">
        <w:rPr>
          <w:rFonts w:ascii="Arial" w:hAnsi="Arial" w:cs="Arial"/>
          <w:sz w:val="24"/>
          <w:szCs w:val="24"/>
        </w:rPr>
        <w:t xml:space="preserve">no humane treatment or reasoning can </w:t>
      </w:r>
      <w:r w:rsidR="00EC2388" w:rsidRPr="00424846">
        <w:rPr>
          <w:rFonts w:ascii="Arial" w:hAnsi="Arial" w:cs="Arial"/>
          <w:sz w:val="24"/>
          <w:szCs w:val="24"/>
        </w:rPr>
        <w:t>stop his attack</w:t>
      </w:r>
      <w:r w:rsidR="000D1A72" w:rsidRPr="00424846">
        <w:rPr>
          <w:rFonts w:ascii="Arial" w:hAnsi="Arial" w:cs="Arial"/>
          <w:sz w:val="24"/>
          <w:szCs w:val="24"/>
        </w:rPr>
        <w:t>.</w:t>
      </w:r>
      <w:r w:rsidR="00B24119" w:rsidRPr="00424846">
        <w:rPr>
          <w:rFonts w:ascii="Arial" w:hAnsi="Arial" w:cs="Arial"/>
          <w:sz w:val="24"/>
          <w:szCs w:val="24"/>
        </w:rPr>
        <w:t xml:space="preserve"> </w:t>
      </w:r>
      <w:r w:rsidR="000D1A72" w:rsidRPr="00424846">
        <w:rPr>
          <w:rFonts w:ascii="Arial" w:hAnsi="Arial" w:cs="Arial"/>
          <w:sz w:val="24"/>
          <w:szCs w:val="24"/>
        </w:rPr>
        <w:t>P</w:t>
      </w:r>
      <w:r w:rsidR="00B24119" w:rsidRPr="00424846">
        <w:rPr>
          <w:rFonts w:ascii="Arial" w:hAnsi="Arial" w:cs="Arial"/>
          <w:sz w:val="24"/>
          <w:szCs w:val="24"/>
        </w:rPr>
        <w:t>arry argues that the</w:t>
      </w:r>
      <w:r w:rsidR="000D1A72" w:rsidRPr="00424846">
        <w:rPr>
          <w:rFonts w:ascii="Arial" w:hAnsi="Arial" w:cs="Arial"/>
          <w:sz w:val="24"/>
          <w:szCs w:val="24"/>
        </w:rPr>
        <w:t xml:space="preserve"> state has no responsibility to reason with the</w:t>
      </w:r>
      <w:r w:rsidR="00B24119" w:rsidRPr="00424846">
        <w:rPr>
          <w:rFonts w:ascii="Arial" w:hAnsi="Arial" w:cs="Arial"/>
          <w:sz w:val="24"/>
          <w:szCs w:val="24"/>
        </w:rPr>
        <w:t>ir</w:t>
      </w:r>
      <w:r w:rsidR="000D1A72" w:rsidRPr="00424846">
        <w:rPr>
          <w:rFonts w:ascii="Arial" w:hAnsi="Arial" w:cs="Arial"/>
          <w:sz w:val="24"/>
          <w:szCs w:val="24"/>
        </w:rPr>
        <w:t xml:space="preserve"> aggressor, their only responsibility is to protect their citizens</w:t>
      </w:r>
      <w:r w:rsidR="00B24119" w:rsidRPr="00424846">
        <w:rPr>
          <w:rFonts w:ascii="Arial" w:hAnsi="Arial" w:cs="Arial"/>
          <w:sz w:val="24"/>
          <w:szCs w:val="24"/>
        </w:rPr>
        <w:t xml:space="preserve">, </w:t>
      </w:r>
      <w:r w:rsidR="000D1A72" w:rsidRPr="00424846">
        <w:rPr>
          <w:rFonts w:ascii="Arial" w:hAnsi="Arial" w:cs="Arial"/>
          <w:sz w:val="24"/>
          <w:szCs w:val="24"/>
        </w:rPr>
        <w:t>under any circumstances</w:t>
      </w:r>
      <w:r w:rsidR="00C1425D" w:rsidRPr="00424846">
        <w:rPr>
          <w:rStyle w:val="FootnoteReference"/>
          <w:rFonts w:ascii="Arial" w:hAnsi="Arial" w:cs="Arial"/>
          <w:sz w:val="24"/>
          <w:szCs w:val="24"/>
        </w:rPr>
        <w:footnoteReference w:id="144"/>
      </w:r>
      <w:r w:rsidR="00D37317" w:rsidRPr="00424846">
        <w:rPr>
          <w:rFonts w:ascii="Arial" w:hAnsi="Arial" w:cs="Arial"/>
          <w:sz w:val="24"/>
          <w:szCs w:val="24"/>
        </w:rPr>
        <w:t>, justifying the use of torture in TBS</w:t>
      </w:r>
      <w:r w:rsidR="00B24119" w:rsidRPr="00424846">
        <w:rPr>
          <w:rFonts w:ascii="Arial" w:hAnsi="Arial" w:cs="Arial"/>
          <w:sz w:val="24"/>
          <w:szCs w:val="24"/>
        </w:rPr>
        <w:t>’s</w:t>
      </w:r>
      <w:r w:rsidR="000D1A72" w:rsidRPr="00424846">
        <w:rPr>
          <w:rFonts w:ascii="Arial" w:hAnsi="Arial" w:cs="Arial"/>
          <w:sz w:val="24"/>
          <w:szCs w:val="24"/>
        </w:rPr>
        <w:t xml:space="preserve">. </w:t>
      </w:r>
    </w:p>
    <w:p w14:paraId="475E4960" w14:textId="71C692F8" w:rsidR="00EB1D5B" w:rsidRPr="00424846" w:rsidRDefault="00D04997" w:rsidP="00862139">
      <w:pPr>
        <w:spacing w:line="480" w:lineRule="auto"/>
        <w:jc w:val="both"/>
        <w:rPr>
          <w:rFonts w:ascii="Arial" w:hAnsi="Arial" w:cs="Arial"/>
          <w:sz w:val="24"/>
          <w:szCs w:val="24"/>
        </w:rPr>
      </w:pPr>
      <w:r w:rsidRPr="00424846">
        <w:rPr>
          <w:rFonts w:ascii="Arial" w:hAnsi="Arial" w:cs="Arial"/>
          <w:sz w:val="24"/>
          <w:szCs w:val="24"/>
        </w:rPr>
        <w:lastRenderedPageBreak/>
        <w:t>Furthermore</w:t>
      </w:r>
      <w:r w:rsidR="00655CE9" w:rsidRPr="00424846">
        <w:rPr>
          <w:rFonts w:ascii="Arial" w:hAnsi="Arial" w:cs="Arial"/>
          <w:sz w:val="24"/>
          <w:szCs w:val="24"/>
        </w:rPr>
        <w:t xml:space="preserve">, </w:t>
      </w:r>
      <w:r w:rsidR="00D37317" w:rsidRPr="00424846">
        <w:rPr>
          <w:rFonts w:ascii="Arial" w:hAnsi="Arial" w:cs="Arial"/>
          <w:sz w:val="24"/>
          <w:szCs w:val="24"/>
        </w:rPr>
        <w:t>consider</w:t>
      </w:r>
      <w:r w:rsidR="0014790B" w:rsidRPr="00424846">
        <w:rPr>
          <w:rFonts w:ascii="Arial" w:hAnsi="Arial" w:cs="Arial"/>
          <w:sz w:val="24"/>
          <w:szCs w:val="24"/>
        </w:rPr>
        <w:t>ing</w:t>
      </w:r>
      <w:r w:rsidR="00D37317" w:rsidRPr="00424846">
        <w:rPr>
          <w:rFonts w:ascii="Arial" w:hAnsi="Arial" w:cs="Arial"/>
          <w:sz w:val="24"/>
          <w:szCs w:val="24"/>
        </w:rPr>
        <w:t xml:space="preserve"> the effects of torture on society</w:t>
      </w:r>
      <w:r w:rsidR="00A00701" w:rsidRPr="00424846">
        <w:rPr>
          <w:rFonts w:ascii="Arial" w:hAnsi="Arial" w:cs="Arial"/>
          <w:sz w:val="24"/>
          <w:szCs w:val="24"/>
        </w:rPr>
        <w:t xml:space="preserve">, </w:t>
      </w:r>
      <w:r w:rsidR="00946DFC" w:rsidRPr="00424846">
        <w:rPr>
          <w:rFonts w:ascii="Arial" w:hAnsi="Arial" w:cs="Arial"/>
          <w:sz w:val="24"/>
          <w:szCs w:val="24"/>
        </w:rPr>
        <w:t>the law</w:t>
      </w:r>
      <w:r w:rsidR="00A00701" w:rsidRPr="00424846">
        <w:rPr>
          <w:rFonts w:ascii="Arial" w:hAnsi="Arial" w:cs="Arial"/>
          <w:sz w:val="24"/>
          <w:szCs w:val="24"/>
        </w:rPr>
        <w:t xml:space="preserve"> </w:t>
      </w:r>
      <w:r w:rsidR="0014790B" w:rsidRPr="00424846">
        <w:rPr>
          <w:rFonts w:ascii="Arial" w:hAnsi="Arial" w:cs="Arial"/>
          <w:sz w:val="24"/>
          <w:szCs w:val="24"/>
        </w:rPr>
        <w:t xml:space="preserve">would have </w:t>
      </w:r>
      <w:r w:rsidR="005478C4" w:rsidRPr="00424846">
        <w:rPr>
          <w:rFonts w:ascii="Arial" w:hAnsi="Arial" w:cs="Arial"/>
          <w:sz w:val="24"/>
          <w:szCs w:val="24"/>
        </w:rPr>
        <w:t>to</w:t>
      </w:r>
      <w:r w:rsidRPr="00424846">
        <w:rPr>
          <w:rFonts w:ascii="Arial" w:hAnsi="Arial" w:cs="Arial"/>
          <w:sz w:val="24"/>
          <w:szCs w:val="24"/>
        </w:rPr>
        <w:t xml:space="preserve"> reach a point of</w:t>
      </w:r>
      <w:r w:rsidR="00A00701" w:rsidRPr="00424846">
        <w:rPr>
          <w:rFonts w:ascii="Arial" w:hAnsi="Arial" w:cs="Arial"/>
          <w:sz w:val="24"/>
          <w:szCs w:val="24"/>
        </w:rPr>
        <w:t xml:space="preserve"> dehumanis</w:t>
      </w:r>
      <w:r w:rsidR="00946DFC" w:rsidRPr="00424846">
        <w:rPr>
          <w:rFonts w:ascii="Arial" w:hAnsi="Arial" w:cs="Arial"/>
          <w:sz w:val="24"/>
          <w:szCs w:val="24"/>
        </w:rPr>
        <w:t xml:space="preserve">ing suspects </w:t>
      </w:r>
      <w:r w:rsidRPr="00424846">
        <w:rPr>
          <w:rFonts w:ascii="Arial" w:hAnsi="Arial" w:cs="Arial"/>
          <w:sz w:val="24"/>
          <w:szCs w:val="24"/>
        </w:rPr>
        <w:t>for</w:t>
      </w:r>
      <w:r w:rsidR="005478C4" w:rsidRPr="00424846">
        <w:rPr>
          <w:rFonts w:ascii="Arial" w:hAnsi="Arial" w:cs="Arial"/>
          <w:sz w:val="24"/>
          <w:szCs w:val="24"/>
        </w:rPr>
        <w:t xml:space="preserve"> interrogators to</w:t>
      </w:r>
      <w:r w:rsidR="00A00701" w:rsidRPr="00424846">
        <w:rPr>
          <w:rFonts w:ascii="Arial" w:hAnsi="Arial" w:cs="Arial"/>
          <w:sz w:val="24"/>
          <w:szCs w:val="24"/>
        </w:rPr>
        <w:t xml:space="preserve"> </w:t>
      </w:r>
      <w:r w:rsidR="00A20CAB" w:rsidRPr="00424846">
        <w:rPr>
          <w:rFonts w:ascii="Arial" w:hAnsi="Arial" w:cs="Arial"/>
          <w:sz w:val="24"/>
          <w:szCs w:val="24"/>
        </w:rPr>
        <w:t>comfortably</w:t>
      </w:r>
      <w:r w:rsidR="00A00701" w:rsidRPr="00424846">
        <w:rPr>
          <w:rFonts w:ascii="Arial" w:hAnsi="Arial" w:cs="Arial"/>
          <w:sz w:val="24"/>
          <w:szCs w:val="24"/>
        </w:rPr>
        <w:t xml:space="preserve"> tortur</w:t>
      </w:r>
      <w:r w:rsidRPr="00424846">
        <w:rPr>
          <w:rFonts w:ascii="Arial" w:hAnsi="Arial" w:cs="Arial"/>
          <w:sz w:val="24"/>
          <w:szCs w:val="24"/>
        </w:rPr>
        <w:t>e</w:t>
      </w:r>
      <w:r w:rsidR="00A00701" w:rsidRPr="00424846">
        <w:rPr>
          <w:rFonts w:ascii="Arial" w:hAnsi="Arial" w:cs="Arial"/>
          <w:sz w:val="24"/>
          <w:szCs w:val="24"/>
        </w:rPr>
        <w:t xml:space="preserve"> </w:t>
      </w:r>
      <w:r w:rsidR="006B4AF7" w:rsidRPr="00424846">
        <w:rPr>
          <w:rFonts w:ascii="Arial" w:hAnsi="Arial" w:cs="Arial"/>
          <w:sz w:val="24"/>
          <w:szCs w:val="24"/>
        </w:rPr>
        <w:t>for information</w:t>
      </w:r>
      <w:r w:rsidRPr="00424846">
        <w:rPr>
          <w:rFonts w:ascii="Arial" w:hAnsi="Arial" w:cs="Arial"/>
          <w:sz w:val="24"/>
          <w:szCs w:val="24"/>
        </w:rPr>
        <w:t xml:space="preserve">, as </w:t>
      </w:r>
      <w:r w:rsidR="00946DFC" w:rsidRPr="00424846">
        <w:rPr>
          <w:rFonts w:ascii="Arial" w:hAnsi="Arial" w:cs="Arial"/>
          <w:sz w:val="24"/>
          <w:szCs w:val="24"/>
        </w:rPr>
        <w:t xml:space="preserve">seen in </w:t>
      </w:r>
      <w:r w:rsidRPr="00424846">
        <w:rPr>
          <w:rFonts w:ascii="Arial" w:hAnsi="Arial" w:cs="Arial"/>
          <w:sz w:val="24"/>
          <w:szCs w:val="24"/>
        </w:rPr>
        <w:t>Abu Ghraib</w:t>
      </w:r>
      <w:r w:rsidR="00E000A0" w:rsidRPr="00424846">
        <w:rPr>
          <w:rStyle w:val="FootnoteReference"/>
          <w:rFonts w:ascii="Arial" w:hAnsi="Arial" w:cs="Arial"/>
          <w:sz w:val="24"/>
          <w:szCs w:val="24"/>
        </w:rPr>
        <w:footnoteReference w:id="145"/>
      </w:r>
      <w:r w:rsidR="00A20CAB" w:rsidRPr="00424846">
        <w:rPr>
          <w:rFonts w:ascii="Arial" w:hAnsi="Arial" w:cs="Arial"/>
          <w:sz w:val="24"/>
          <w:szCs w:val="24"/>
        </w:rPr>
        <w:t>.</w:t>
      </w:r>
      <w:r w:rsidR="005478C4" w:rsidRPr="00424846">
        <w:rPr>
          <w:rFonts w:ascii="Arial" w:hAnsi="Arial" w:cs="Arial"/>
          <w:sz w:val="24"/>
          <w:szCs w:val="24"/>
        </w:rPr>
        <w:t xml:space="preserve"> </w:t>
      </w:r>
      <w:r w:rsidRPr="00424846">
        <w:rPr>
          <w:rFonts w:ascii="Arial" w:hAnsi="Arial" w:cs="Arial"/>
          <w:sz w:val="24"/>
          <w:szCs w:val="24"/>
        </w:rPr>
        <w:t>C</w:t>
      </w:r>
      <w:r w:rsidR="005478C4" w:rsidRPr="00424846">
        <w:rPr>
          <w:rFonts w:ascii="Arial" w:hAnsi="Arial" w:cs="Arial"/>
          <w:sz w:val="24"/>
          <w:szCs w:val="24"/>
        </w:rPr>
        <w:t>aus</w:t>
      </w:r>
      <w:r w:rsidRPr="00424846">
        <w:rPr>
          <w:rFonts w:ascii="Arial" w:hAnsi="Arial" w:cs="Arial"/>
          <w:sz w:val="24"/>
          <w:szCs w:val="24"/>
        </w:rPr>
        <w:t>ing</w:t>
      </w:r>
      <w:r w:rsidR="005478C4" w:rsidRPr="00424846">
        <w:rPr>
          <w:rFonts w:ascii="Arial" w:hAnsi="Arial" w:cs="Arial"/>
          <w:sz w:val="24"/>
          <w:szCs w:val="24"/>
        </w:rPr>
        <w:t xml:space="preserve"> th</w:t>
      </w:r>
      <w:r w:rsidRPr="00424846">
        <w:rPr>
          <w:rFonts w:ascii="Arial" w:hAnsi="Arial" w:cs="Arial"/>
          <w:sz w:val="24"/>
          <w:szCs w:val="24"/>
        </w:rPr>
        <w:t>e</w:t>
      </w:r>
      <w:r w:rsidR="005478C4" w:rsidRPr="00424846">
        <w:rPr>
          <w:rFonts w:ascii="Arial" w:hAnsi="Arial" w:cs="Arial"/>
          <w:sz w:val="24"/>
          <w:szCs w:val="24"/>
        </w:rPr>
        <w:t xml:space="preserve"> </w:t>
      </w:r>
      <w:r w:rsidR="003C5F07" w:rsidRPr="00424846">
        <w:rPr>
          <w:rFonts w:ascii="Arial" w:hAnsi="Arial" w:cs="Arial"/>
          <w:sz w:val="24"/>
          <w:szCs w:val="24"/>
        </w:rPr>
        <w:t>ethics of the</w:t>
      </w:r>
      <w:r w:rsidR="0026150A" w:rsidRPr="00424846">
        <w:rPr>
          <w:rFonts w:ascii="Arial" w:hAnsi="Arial" w:cs="Arial"/>
          <w:sz w:val="24"/>
          <w:szCs w:val="24"/>
        </w:rPr>
        <w:t xml:space="preserve"> legal system</w:t>
      </w:r>
      <w:r w:rsidR="003C5F07" w:rsidRPr="00424846">
        <w:rPr>
          <w:rFonts w:ascii="Arial" w:hAnsi="Arial" w:cs="Arial"/>
          <w:sz w:val="24"/>
          <w:szCs w:val="24"/>
        </w:rPr>
        <w:t xml:space="preserve"> </w:t>
      </w:r>
      <w:r w:rsidR="005478C4" w:rsidRPr="00424846">
        <w:rPr>
          <w:rFonts w:ascii="Arial" w:hAnsi="Arial" w:cs="Arial"/>
          <w:sz w:val="24"/>
          <w:szCs w:val="24"/>
        </w:rPr>
        <w:t xml:space="preserve">to be </w:t>
      </w:r>
      <w:r w:rsidR="0026150A" w:rsidRPr="00424846">
        <w:rPr>
          <w:rFonts w:ascii="Arial" w:hAnsi="Arial" w:cs="Arial"/>
          <w:sz w:val="24"/>
          <w:szCs w:val="24"/>
        </w:rPr>
        <w:t xml:space="preserve">degenerated, </w:t>
      </w:r>
      <w:r w:rsidRPr="00424846">
        <w:rPr>
          <w:rFonts w:ascii="Arial" w:hAnsi="Arial" w:cs="Arial"/>
          <w:sz w:val="24"/>
          <w:szCs w:val="24"/>
        </w:rPr>
        <w:t xml:space="preserve">to such a point, where </w:t>
      </w:r>
      <w:r w:rsidR="00EB1D5B" w:rsidRPr="00424846">
        <w:rPr>
          <w:rFonts w:ascii="Arial" w:hAnsi="Arial" w:cs="Arial"/>
          <w:sz w:val="24"/>
          <w:szCs w:val="24"/>
        </w:rPr>
        <w:t xml:space="preserve">even </w:t>
      </w:r>
      <w:r w:rsidRPr="00424846">
        <w:rPr>
          <w:rFonts w:ascii="Arial" w:hAnsi="Arial" w:cs="Arial"/>
          <w:sz w:val="24"/>
          <w:szCs w:val="24"/>
        </w:rPr>
        <w:t>an</w:t>
      </w:r>
      <w:r w:rsidR="0026150A" w:rsidRPr="00424846">
        <w:rPr>
          <w:rFonts w:ascii="Arial" w:hAnsi="Arial" w:cs="Arial"/>
          <w:sz w:val="24"/>
          <w:szCs w:val="24"/>
        </w:rPr>
        <w:t xml:space="preserve"> innocent </w:t>
      </w:r>
      <w:r w:rsidRPr="00424846">
        <w:rPr>
          <w:rFonts w:ascii="Arial" w:hAnsi="Arial" w:cs="Arial"/>
          <w:sz w:val="24"/>
          <w:szCs w:val="24"/>
        </w:rPr>
        <w:t>man can be falsely accused of terrorism and, now,</w:t>
      </w:r>
      <w:r w:rsidR="00EB1D5B" w:rsidRPr="00424846">
        <w:rPr>
          <w:rFonts w:ascii="Arial" w:hAnsi="Arial" w:cs="Arial"/>
          <w:sz w:val="24"/>
          <w:szCs w:val="24"/>
        </w:rPr>
        <w:t xml:space="preserve"> is </w:t>
      </w:r>
      <w:r w:rsidR="00946DFC" w:rsidRPr="00424846">
        <w:rPr>
          <w:rFonts w:ascii="Arial" w:hAnsi="Arial" w:cs="Arial"/>
          <w:sz w:val="24"/>
          <w:szCs w:val="24"/>
        </w:rPr>
        <w:t>dehumanised and degraded</w:t>
      </w:r>
      <w:r w:rsidR="00EB1D5B" w:rsidRPr="00424846">
        <w:rPr>
          <w:rFonts w:ascii="Arial" w:hAnsi="Arial" w:cs="Arial"/>
          <w:sz w:val="24"/>
          <w:szCs w:val="24"/>
        </w:rPr>
        <w:t xml:space="preserve"> with torture</w:t>
      </w:r>
      <w:r w:rsidR="00946DFC" w:rsidRPr="00424846">
        <w:rPr>
          <w:rFonts w:ascii="Arial" w:hAnsi="Arial" w:cs="Arial"/>
          <w:sz w:val="24"/>
          <w:szCs w:val="24"/>
        </w:rPr>
        <w:t xml:space="preserve">, as a result. The </w:t>
      </w:r>
      <w:r w:rsidR="0026150A" w:rsidRPr="00424846">
        <w:rPr>
          <w:rFonts w:ascii="Arial" w:hAnsi="Arial" w:cs="Arial"/>
          <w:sz w:val="24"/>
          <w:szCs w:val="24"/>
        </w:rPr>
        <w:t>El Masri case</w:t>
      </w:r>
      <w:r w:rsidR="00E000A0" w:rsidRPr="00424846">
        <w:rPr>
          <w:rStyle w:val="FootnoteReference"/>
          <w:rFonts w:ascii="Arial" w:hAnsi="Arial" w:cs="Arial"/>
          <w:sz w:val="24"/>
          <w:szCs w:val="24"/>
        </w:rPr>
        <w:footnoteReference w:id="146"/>
      </w:r>
      <w:r w:rsidR="00946DFC" w:rsidRPr="00424846">
        <w:rPr>
          <w:rFonts w:ascii="Arial" w:hAnsi="Arial" w:cs="Arial"/>
          <w:sz w:val="24"/>
          <w:szCs w:val="24"/>
        </w:rPr>
        <w:t xml:space="preserve"> reflects this</w:t>
      </w:r>
      <w:r w:rsidR="0026150A" w:rsidRPr="00424846">
        <w:rPr>
          <w:rFonts w:ascii="Arial" w:hAnsi="Arial" w:cs="Arial"/>
          <w:sz w:val="24"/>
          <w:szCs w:val="24"/>
        </w:rPr>
        <w:t xml:space="preserve">, </w:t>
      </w:r>
      <w:r w:rsidR="00946DFC" w:rsidRPr="00424846">
        <w:rPr>
          <w:rFonts w:ascii="Arial" w:hAnsi="Arial" w:cs="Arial"/>
          <w:sz w:val="24"/>
          <w:szCs w:val="24"/>
        </w:rPr>
        <w:t>as</w:t>
      </w:r>
      <w:r w:rsidR="0026150A" w:rsidRPr="00424846">
        <w:rPr>
          <w:rFonts w:ascii="Arial" w:hAnsi="Arial" w:cs="Arial"/>
          <w:sz w:val="24"/>
          <w:szCs w:val="24"/>
        </w:rPr>
        <w:t xml:space="preserve"> </w:t>
      </w:r>
      <w:r w:rsidR="00946DFC" w:rsidRPr="00424846">
        <w:rPr>
          <w:rFonts w:ascii="Arial" w:hAnsi="Arial" w:cs="Arial"/>
          <w:sz w:val="24"/>
          <w:szCs w:val="24"/>
        </w:rPr>
        <w:t xml:space="preserve">Masri </w:t>
      </w:r>
      <w:r w:rsidR="005679D3" w:rsidRPr="00424846">
        <w:rPr>
          <w:rFonts w:ascii="Arial" w:hAnsi="Arial" w:cs="Arial"/>
          <w:sz w:val="24"/>
          <w:szCs w:val="24"/>
        </w:rPr>
        <w:t>was detained without charge for 23 days</w:t>
      </w:r>
      <w:r w:rsidR="00946DFC" w:rsidRPr="00424846">
        <w:rPr>
          <w:rFonts w:ascii="Arial" w:hAnsi="Arial" w:cs="Arial"/>
          <w:sz w:val="24"/>
          <w:szCs w:val="24"/>
        </w:rPr>
        <w:t>,</w:t>
      </w:r>
      <w:r w:rsidR="005679D3" w:rsidRPr="00424846">
        <w:rPr>
          <w:rFonts w:ascii="Arial" w:hAnsi="Arial" w:cs="Arial"/>
          <w:sz w:val="24"/>
          <w:szCs w:val="24"/>
        </w:rPr>
        <w:t xml:space="preserve"> under the false suspicion that he was a member of Al-Qaida</w:t>
      </w:r>
      <w:r w:rsidR="00EB1D5B" w:rsidRPr="00424846">
        <w:rPr>
          <w:rFonts w:ascii="Arial" w:hAnsi="Arial" w:cs="Arial"/>
          <w:sz w:val="24"/>
          <w:szCs w:val="24"/>
        </w:rPr>
        <w:t>, however,</w:t>
      </w:r>
      <w:r w:rsidR="00946DFC" w:rsidRPr="00424846">
        <w:rPr>
          <w:rFonts w:ascii="Arial" w:hAnsi="Arial" w:cs="Arial"/>
          <w:sz w:val="24"/>
          <w:szCs w:val="24"/>
        </w:rPr>
        <w:t xml:space="preserve"> </w:t>
      </w:r>
      <w:r w:rsidR="00EB1D5B" w:rsidRPr="00424846">
        <w:rPr>
          <w:rFonts w:ascii="Arial" w:hAnsi="Arial" w:cs="Arial"/>
          <w:sz w:val="24"/>
          <w:szCs w:val="24"/>
        </w:rPr>
        <w:t xml:space="preserve">the </w:t>
      </w:r>
      <w:r w:rsidR="005679D3" w:rsidRPr="00424846">
        <w:rPr>
          <w:rFonts w:ascii="Arial" w:hAnsi="Arial" w:cs="Arial"/>
          <w:sz w:val="24"/>
          <w:szCs w:val="24"/>
        </w:rPr>
        <w:t>EC</w:t>
      </w:r>
      <w:r w:rsidR="001C7F4F" w:rsidRPr="00424846">
        <w:rPr>
          <w:rFonts w:ascii="Arial" w:hAnsi="Arial" w:cs="Arial"/>
          <w:sz w:val="24"/>
          <w:szCs w:val="24"/>
        </w:rPr>
        <w:t>t</w:t>
      </w:r>
      <w:r w:rsidR="005679D3" w:rsidRPr="00424846">
        <w:rPr>
          <w:rFonts w:ascii="Arial" w:hAnsi="Arial" w:cs="Arial"/>
          <w:sz w:val="24"/>
          <w:szCs w:val="24"/>
        </w:rPr>
        <w:t>HR</w:t>
      </w:r>
      <w:r w:rsidR="00EB1D5B" w:rsidRPr="00424846">
        <w:rPr>
          <w:rFonts w:ascii="Arial" w:hAnsi="Arial" w:cs="Arial"/>
          <w:sz w:val="24"/>
          <w:szCs w:val="24"/>
        </w:rPr>
        <w:t xml:space="preserve">, </w:t>
      </w:r>
      <w:r w:rsidR="005679D3" w:rsidRPr="00424846">
        <w:rPr>
          <w:rFonts w:ascii="Arial" w:hAnsi="Arial" w:cs="Arial"/>
          <w:sz w:val="24"/>
          <w:szCs w:val="24"/>
        </w:rPr>
        <w:t>later</w:t>
      </w:r>
      <w:r w:rsidR="00EB1D5B" w:rsidRPr="00424846">
        <w:rPr>
          <w:rFonts w:ascii="Arial" w:hAnsi="Arial" w:cs="Arial"/>
          <w:sz w:val="24"/>
          <w:szCs w:val="24"/>
        </w:rPr>
        <w:t xml:space="preserve">, </w:t>
      </w:r>
      <w:r w:rsidR="0026150A" w:rsidRPr="00424846">
        <w:rPr>
          <w:rFonts w:ascii="Arial" w:hAnsi="Arial" w:cs="Arial"/>
          <w:sz w:val="24"/>
          <w:szCs w:val="24"/>
        </w:rPr>
        <w:t>found</w:t>
      </w:r>
      <w:r w:rsidR="00946DFC" w:rsidRPr="00424846">
        <w:rPr>
          <w:rFonts w:ascii="Arial" w:hAnsi="Arial" w:cs="Arial"/>
          <w:sz w:val="24"/>
          <w:szCs w:val="24"/>
        </w:rPr>
        <w:t xml:space="preserve"> </w:t>
      </w:r>
      <w:r w:rsidR="00EB1D5B" w:rsidRPr="00424846">
        <w:rPr>
          <w:rFonts w:ascii="Arial" w:hAnsi="Arial" w:cs="Arial"/>
          <w:sz w:val="24"/>
          <w:szCs w:val="24"/>
        </w:rPr>
        <w:t>his innocence, but, not before his rights were</w:t>
      </w:r>
      <w:r w:rsidR="0026150A" w:rsidRPr="00424846">
        <w:rPr>
          <w:rFonts w:ascii="Arial" w:hAnsi="Arial" w:cs="Arial"/>
          <w:sz w:val="24"/>
          <w:szCs w:val="24"/>
        </w:rPr>
        <w:t xml:space="preserve"> violat</w:t>
      </w:r>
      <w:r w:rsidR="00946DFC" w:rsidRPr="00424846">
        <w:rPr>
          <w:rFonts w:ascii="Arial" w:hAnsi="Arial" w:cs="Arial"/>
          <w:sz w:val="24"/>
          <w:szCs w:val="24"/>
        </w:rPr>
        <w:t xml:space="preserve">ed, </w:t>
      </w:r>
      <w:r w:rsidR="00EB1D5B" w:rsidRPr="00424846">
        <w:rPr>
          <w:rFonts w:ascii="Arial" w:hAnsi="Arial" w:cs="Arial"/>
          <w:sz w:val="24"/>
          <w:szCs w:val="24"/>
        </w:rPr>
        <w:t xml:space="preserve">with </w:t>
      </w:r>
      <w:r w:rsidR="005679D3" w:rsidRPr="00424846">
        <w:rPr>
          <w:rFonts w:ascii="Arial" w:hAnsi="Arial" w:cs="Arial"/>
          <w:sz w:val="24"/>
          <w:szCs w:val="24"/>
        </w:rPr>
        <w:t>torture</w:t>
      </w:r>
      <w:r w:rsidR="00EB1D5B" w:rsidRPr="00424846">
        <w:rPr>
          <w:rFonts w:ascii="Arial" w:hAnsi="Arial" w:cs="Arial"/>
          <w:sz w:val="24"/>
          <w:szCs w:val="24"/>
        </w:rPr>
        <w:t xml:space="preserve"> in an attempt to obtain information. </w:t>
      </w:r>
      <w:r w:rsidR="0057774B" w:rsidRPr="00424846">
        <w:rPr>
          <w:rFonts w:ascii="Arial" w:hAnsi="Arial" w:cs="Arial"/>
          <w:sz w:val="24"/>
          <w:szCs w:val="24"/>
        </w:rPr>
        <w:t xml:space="preserve"> </w:t>
      </w:r>
      <w:r w:rsidR="00EB1D5B" w:rsidRPr="00424846">
        <w:rPr>
          <w:rFonts w:ascii="Arial" w:hAnsi="Arial" w:cs="Arial"/>
          <w:sz w:val="24"/>
          <w:szCs w:val="24"/>
        </w:rPr>
        <w:t>Too quickly resulting in,</w:t>
      </w:r>
      <w:r w:rsidR="005679D3" w:rsidRPr="00424846">
        <w:rPr>
          <w:rFonts w:ascii="Arial" w:hAnsi="Arial" w:cs="Arial"/>
          <w:sz w:val="24"/>
          <w:szCs w:val="24"/>
        </w:rPr>
        <w:t xml:space="preserve"> </w:t>
      </w:r>
      <w:r w:rsidR="00EB1D5B" w:rsidRPr="00424846">
        <w:rPr>
          <w:rFonts w:ascii="Arial" w:hAnsi="Arial" w:cs="Arial"/>
          <w:sz w:val="24"/>
          <w:szCs w:val="24"/>
        </w:rPr>
        <w:t>innocent people, especially of a minority background</w:t>
      </w:r>
      <w:r w:rsidR="00EB1D5B" w:rsidRPr="00424846">
        <w:rPr>
          <w:rStyle w:val="FootnoteReference"/>
          <w:rFonts w:ascii="Arial" w:hAnsi="Arial" w:cs="Arial"/>
          <w:sz w:val="24"/>
          <w:szCs w:val="24"/>
        </w:rPr>
        <w:footnoteReference w:id="147"/>
      </w:r>
      <w:r w:rsidR="00EB1D5B" w:rsidRPr="00424846">
        <w:rPr>
          <w:rFonts w:ascii="Arial" w:hAnsi="Arial" w:cs="Arial"/>
          <w:sz w:val="24"/>
          <w:szCs w:val="24"/>
        </w:rPr>
        <w:t xml:space="preserve">, being </w:t>
      </w:r>
      <w:r w:rsidR="005679D3" w:rsidRPr="00424846">
        <w:rPr>
          <w:rFonts w:ascii="Arial" w:hAnsi="Arial" w:cs="Arial"/>
          <w:sz w:val="24"/>
          <w:szCs w:val="24"/>
        </w:rPr>
        <w:t>wrongful</w:t>
      </w:r>
      <w:r w:rsidR="00EB1D5B" w:rsidRPr="00424846">
        <w:rPr>
          <w:rFonts w:ascii="Arial" w:hAnsi="Arial" w:cs="Arial"/>
          <w:sz w:val="24"/>
          <w:szCs w:val="24"/>
        </w:rPr>
        <w:t>ly</w:t>
      </w:r>
      <w:r w:rsidR="005679D3" w:rsidRPr="00424846">
        <w:rPr>
          <w:rFonts w:ascii="Arial" w:hAnsi="Arial" w:cs="Arial"/>
          <w:sz w:val="24"/>
          <w:szCs w:val="24"/>
        </w:rPr>
        <w:t xml:space="preserve"> </w:t>
      </w:r>
      <w:r w:rsidR="00EB1D5B" w:rsidRPr="00424846">
        <w:rPr>
          <w:rFonts w:ascii="Arial" w:hAnsi="Arial" w:cs="Arial"/>
          <w:sz w:val="24"/>
          <w:szCs w:val="24"/>
        </w:rPr>
        <w:t>accused of</w:t>
      </w:r>
      <w:r w:rsidR="005679D3" w:rsidRPr="00424846">
        <w:rPr>
          <w:rFonts w:ascii="Arial" w:hAnsi="Arial" w:cs="Arial"/>
          <w:sz w:val="24"/>
          <w:szCs w:val="24"/>
        </w:rPr>
        <w:t xml:space="preserve"> terroris</w:t>
      </w:r>
      <w:r w:rsidR="00EB1D5B" w:rsidRPr="00424846">
        <w:rPr>
          <w:rFonts w:ascii="Arial" w:hAnsi="Arial" w:cs="Arial"/>
          <w:sz w:val="24"/>
          <w:szCs w:val="24"/>
        </w:rPr>
        <w:t>m</w:t>
      </w:r>
      <w:r w:rsidR="005679D3" w:rsidRPr="00424846">
        <w:rPr>
          <w:rFonts w:ascii="Arial" w:hAnsi="Arial" w:cs="Arial"/>
          <w:sz w:val="24"/>
          <w:szCs w:val="24"/>
        </w:rPr>
        <w:t xml:space="preserve"> and torture</w:t>
      </w:r>
      <w:r w:rsidR="00EB1D5B" w:rsidRPr="00424846">
        <w:rPr>
          <w:rFonts w:ascii="Arial" w:hAnsi="Arial" w:cs="Arial"/>
          <w:sz w:val="24"/>
          <w:szCs w:val="24"/>
        </w:rPr>
        <w:t xml:space="preserve">d by the state. </w:t>
      </w:r>
    </w:p>
    <w:p w14:paraId="3BD4346A" w14:textId="128F0F17" w:rsidR="00E108CD" w:rsidRPr="00424846" w:rsidRDefault="00AE4E3F" w:rsidP="00862139">
      <w:pPr>
        <w:spacing w:line="480" w:lineRule="auto"/>
        <w:jc w:val="both"/>
        <w:rPr>
          <w:rFonts w:ascii="Arial" w:hAnsi="Arial" w:cs="Arial"/>
          <w:sz w:val="24"/>
          <w:szCs w:val="24"/>
        </w:rPr>
      </w:pPr>
      <w:r w:rsidRPr="00424846">
        <w:rPr>
          <w:rFonts w:ascii="Arial" w:hAnsi="Arial" w:cs="Arial"/>
          <w:sz w:val="24"/>
          <w:szCs w:val="24"/>
        </w:rPr>
        <w:t>Statman</w:t>
      </w:r>
      <w:r w:rsidR="0057774B" w:rsidRPr="00424846">
        <w:rPr>
          <w:rFonts w:ascii="Arial" w:hAnsi="Arial" w:cs="Arial"/>
          <w:sz w:val="24"/>
          <w:szCs w:val="24"/>
        </w:rPr>
        <w:t xml:space="preserve"> also added that</w:t>
      </w:r>
      <w:r w:rsidRPr="00424846">
        <w:rPr>
          <w:rFonts w:ascii="Arial" w:hAnsi="Arial" w:cs="Arial"/>
          <w:sz w:val="24"/>
          <w:szCs w:val="24"/>
        </w:rPr>
        <w:t xml:space="preserve"> torture c</w:t>
      </w:r>
      <w:r w:rsidR="0057774B" w:rsidRPr="00424846">
        <w:rPr>
          <w:rFonts w:ascii="Arial" w:hAnsi="Arial" w:cs="Arial"/>
          <w:sz w:val="24"/>
          <w:szCs w:val="24"/>
        </w:rPr>
        <w:t>ould</w:t>
      </w:r>
      <w:r w:rsidRPr="00424846">
        <w:rPr>
          <w:rFonts w:ascii="Arial" w:hAnsi="Arial" w:cs="Arial"/>
          <w:sz w:val="24"/>
          <w:szCs w:val="24"/>
        </w:rPr>
        <w:t xml:space="preserve"> ‘lead to </w:t>
      </w:r>
      <w:r w:rsidR="00F9507F" w:rsidRPr="00424846">
        <w:rPr>
          <w:rFonts w:ascii="Arial" w:hAnsi="Arial" w:cs="Arial"/>
          <w:sz w:val="24"/>
          <w:szCs w:val="24"/>
        </w:rPr>
        <w:t>retaliated-terrorism</w:t>
      </w:r>
      <w:r w:rsidRPr="00424846">
        <w:rPr>
          <w:rFonts w:ascii="Arial" w:hAnsi="Arial" w:cs="Arial"/>
          <w:sz w:val="24"/>
          <w:szCs w:val="24"/>
        </w:rPr>
        <w:t xml:space="preserve"> by the victim and their comrades</w:t>
      </w:r>
      <w:r w:rsidR="006B4AF7" w:rsidRPr="00424846">
        <w:rPr>
          <w:rFonts w:ascii="Arial" w:hAnsi="Arial" w:cs="Arial"/>
          <w:sz w:val="24"/>
          <w:szCs w:val="24"/>
        </w:rPr>
        <w:t>’</w:t>
      </w:r>
      <w:r w:rsidR="00C529E1" w:rsidRPr="00424846">
        <w:rPr>
          <w:rStyle w:val="FootnoteReference"/>
          <w:rFonts w:ascii="Arial" w:hAnsi="Arial" w:cs="Arial"/>
          <w:sz w:val="24"/>
          <w:szCs w:val="24"/>
        </w:rPr>
        <w:footnoteReference w:id="148"/>
      </w:r>
      <w:r w:rsidR="00F9507F" w:rsidRPr="00424846">
        <w:rPr>
          <w:rFonts w:ascii="Arial" w:hAnsi="Arial" w:cs="Arial"/>
          <w:sz w:val="24"/>
          <w:szCs w:val="24"/>
        </w:rPr>
        <w:t xml:space="preserve">, </w:t>
      </w:r>
      <w:r w:rsidR="006B4AF7" w:rsidRPr="00424846">
        <w:rPr>
          <w:rFonts w:ascii="Arial" w:hAnsi="Arial" w:cs="Arial"/>
          <w:sz w:val="24"/>
          <w:szCs w:val="24"/>
        </w:rPr>
        <w:t>pushing those who have been wrongfully tortured towards terrorism</w:t>
      </w:r>
      <w:r w:rsidR="0093414A" w:rsidRPr="00424846">
        <w:rPr>
          <w:rFonts w:ascii="Arial" w:hAnsi="Arial" w:cs="Arial"/>
          <w:sz w:val="24"/>
          <w:szCs w:val="24"/>
        </w:rPr>
        <w:t xml:space="preserve">, </w:t>
      </w:r>
      <w:r w:rsidR="006B4AF7" w:rsidRPr="00424846">
        <w:rPr>
          <w:rFonts w:ascii="Arial" w:hAnsi="Arial" w:cs="Arial"/>
          <w:sz w:val="24"/>
          <w:szCs w:val="24"/>
        </w:rPr>
        <w:t>as a form of retaliation against states</w:t>
      </w:r>
      <w:r w:rsidR="00F9507F" w:rsidRPr="00424846">
        <w:rPr>
          <w:rFonts w:ascii="Arial" w:hAnsi="Arial" w:cs="Arial"/>
          <w:sz w:val="24"/>
          <w:szCs w:val="24"/>
        </w:rPr>
        <w:t>. Although, there is little evidence to prove this, this argument was explored further in the case of ‘Jihadi John’, who, arguably, was ‘harassed’ by the state beforehand, leading him to terrorism</w:t>
      </w:r>
      <w:r w:rsidR="00FD006D" w:rsidRPr="00424846">
        <w:rPr>
          <w:rStyle w:val="FootnoteReference"/>
          <w:rFonts w:ascii="Arial" w:hAnsi="Arial" w:cs="Arial"/>
          <w:sz w:val="24"/>
          <w:szCs w:val="24"/>
        </w:rPr>
        <w:footnoteReference w:id="149"/>
      </w:r>
      <w:r w:rsidR="00F9507F" w:rsidRPr="00424846">
        <w:rPr>
          <w:rFonts w:ascii="Arial" w:hAnsi="Arial" w:cs="Arial"/>
          <w:sz w:val="24"/>
          <w:szCs w:val="24"/>
        </w:rPr>
        <w:t xml:space="preserve">. </w:t>
      </w:r>
      <w:r w:rsidRPr="00424846">
        <w:rPr>
          <w:rFonts w:ascii="Arial" w:hAnsi="Arial" w:cs="Arial"/>
          <w:sz w:val="24"/>
          <w:szCs w:val="24"/>
        </w:rPr>
        <w:t xml:space="preserve"> </w:t>
      </w:r>
      <w:r w:rsidR="00927326" w:rsidRPr="00424846">
        <w:rPr>
          <w:rFonts w:ascii="Arial" w:hAnsi="Arial" w:cs="Arial"/>
          <w:sz w:val="24"/>
          <w:szCs w:val="24"/>
        </w:rPr>
        <w:t xml:space="preserve">  </w:t>
      </w:r>
      <w:r w:rsidR="00F9507F" w:rsidRPr="00424846">
        <w:rPr>
          <w:rFonts w:ascii="Arial" w:hAnsi="Arial" w:cs="Arial"/>
          <w:sz w:val="24"/>
          <w:szCs w:val="24"/>
        </w:rPr>
        <w:t xml:space="preserve">Nevertheless, </w:t>
      </w:r>
      <w:r w:rsidRPr="00424846">
        <w:rPr>
          <w:rFonts w:ascii="Arial" w:hAnsi="Arial" w:cs="Arial"/>
          <w:sz w:val="24"/>
          <w:szCs w:val="24"/>
        </w:rPr>
        <w:t>Kant agrees</w:t>
      </w:r>
      <w:r w:rsidR="00F9507F" w:rsidRPr="00424846">
        <w:rPr>
          <w:rFonts w:ascii="Arial" w:hAnsi="Arial" w:cs="Arial"/>
          <w:sz w:val="24"/>
          <w:szCs w:val="24"/>
        </w:rPr>
        <w:t xml:space="preserve"> with Statemen</w:t>
      </w:r>
      <w:r w:rsidRPr="00424846">
        <w:rPr>
          <w:rFonts w:ascii="Arial" w:hAnsi="Arial" w:cs="Arial"/>
          <w:sz w:val="24"/>
          <w:szCs w:val="24"/>
        </w:rPr>
        <w:t xml:space="preserve">, arguing that </w:t>
      </w:r>
      <w:r w:rsidR="006B4AF7" w:rsidRPr="00424846">
        <w:rPr>
          <w:rFonts w:ascii="Arial" w:hAnsi="Arial" w:cs="Arial"/>
          <w:sz w:val="24"/>
          <w:szCs w:val="24"/>
        </w:rPr>
        <w:t>‘no state…should permit such acts of hostility</w:t>
      </w:r>
      <w:r w:rsidR="00F9507F" w:rsidRPr="00424846">
        <w:rPr>
          <w:rFonts w:ascii="Arial" w:hAnsi="Arial" w:cs="Arial"/>
          <w:sz w:val="24"/>
          <w:szCs w:val="24"/>
        </w:rPr>
        <w:t xml:space="preserve">…[as] </w:t>
      </w:r>
      <w:r w:rsidR="006B4AF7" w:rsidRPr="00424846">
        <w:rPr>
          <w:rFonts w:ascii="Arial" w:hAnsi="Arial" w:cs="Arial"/>
          <w:sz w:val="24"/>
          <w:szCs w:val="24"/>
        </w:rPr>
        <w:t xml:space="preserve">mutual confidence </w:t>
      </w:r>
      <w:r w:rsidR="003D29FF" w:rsidRPr="00424846">
        <w:rPr>
          <w:rFonts w:ascii="Arial" w:hAnsi="Arial" w:cs="Arial"/>
          <w:sz w:val="24"/>
          <w:szCs w:val="24"/>
        </w:rPr>
        <w:t xml:space="preserve">becomes </w:t>
      </w:r>
      <w:r w:rsidR="006B4AF7" w:rsidRPr="00424846">
        <w:rPr>
          <w:rFonts w:ascii="Arial" w:hAnsi="Arial" w:cs="Arial"/>
          <w:sz w:val="24"/>
          <w:szCs w:val="24"/>
        </w:rPr>
        <w:t>impossible</w:t>
      </w:r>
      <w:r w:rsidR="003D29FF" w:rsidRPr="00424846">
        <w:rPr>
          <w:rFonts w:ascii="Arial" w:hAnsi="Arial" w:cs="Arial"/>
          <w:sz w:val="24"/>
          <w:szCs w:val="24"/>
        </w:rPr>
        <w:t xml:space="preserve">, </w:t>
      </w:r>
      <w:r w:rsidR="006B4AF7" w:rsidRPr="00424846">
        <w:rPr>
          <w:rFonts w:ascii="Arial" w:hAnsi="Arial" w:cs="Arial"/>
          <w:sz w:val="24"/>
          <w:szCs w:val="24"/>
        </w:rPr>
        <w:t>during a time of peace’</w:t>
      </w:r>
      <w:r w:rsidR="001C452A" w:rsidRPr="00424846">
        <w:rPr>
          <w:rStyle w:val="FootnoteReference"/>
          <w:rFonts w:ascii="Arial" w:hAnsi="Arial" w:cs="Arial"/>
          <w:sz w:val="24"/>
          <w:szCs w:val="24"/>
        </w:rPr>
        <w:footnoteReference w:id="150"/>
      </w:r>
      <w:r w:rsidR="006B4AF7" w:rsidRPr="00424846">
        <w:rPr>
          <w:rFonts w:ascii="Arial" w:hAnsi="Arial" w:cs="Arial"/>
          <w:sz w:val="24"/>
          <w:szCs w:val="24"/>
        </w:rPr>
        <w:t xml:space="preserve">. </w:t>
      </w:r>
      <w:r w:rsidR="003D29FF" w:rsidRPr="00424846">
        <w:rPr>
          <w:rFonts w:ascii="Arial" w:hAnsi="Arial" w:cs="Arial"/>
          <w:sz w:val="24"/>
          <w:szCs w:val="24"/>
        </w:rPr>
        <w:t xml:space="preserve">Illustrating </w:t>
      </w:r>
      <w:r w:rsidR="006B4AF7" w:rsidRPr="00424846">
        <w:rPr>
          <w:rFonts w:ascii="Arial" w:hAnsi="Arial" w:cs="Arial"/>
          <w:sz w:val="24"/>
          <w:szCs w:val="24"/>
        </w:rPr>
        <w:t>that</w:t>
      </w:r>
      <w:r w:rsidR="003D29FF" w:rsidRPr="00424846">
        <w:rPr>
          <w:rFonts w:ascii="Arial" w:hAnsi="Arial" w:cs="Arial"/>
          <w:sz w:val="24"/>
          <w:szCs w:val="24"/>
        </w:rPr>
        <w:t xml:space="preserve"> </w:t>
      </w:r>
      <w:r w:rsidR="006B4AF7" w:rsidRPr="00424846">
        <w:rPr>
          <w:rFonts w:ascii="Arial" w:hAnsi="Arial" w:cs="Arial"/>
          <w:sz w:val="24"/>
          <w:szCs w:val="24"/>
        </w:rPr>
        <w:t>torture could have drastic macro-scale</w:t>
      </w:r>
      <w:r w:rsidR="003D29FF" w:rsidRPr="00424846">
        <w:rPr>
          <w:rFonts w:ascii="Arial" w:hAnsi="Arial" w:cs="Arial"/>
          <w:sz w:val="24"/>
          <w:szCs w:val="24"/>
        </w:rPr>
        <w:t xml:space="preserve"> effects</w:t>
      </w:r>
      <w:r w:rsidR="006B4AF7" w:rsidRPr="00424846">
        <w:rPr>
          <w:rFonts w:ascii="Arial" w:hAnsi="Arial" w:cs="Arial"/>
          <w:sz w:val="24"/>
          <w:szCs w:val="24"/>
        </w:rPr>
        <w:t>,</w:t>
      </w:r>
      <w:r w:rsidR="003D29FF" w:rsidRPr="00424846">
        <w:rPr>
          <w:rFonts w:ascii="Arial" w:hAnsi="Arial" w:cs="Arial"/>
          <w:sz w:val="24"/>
          <w:szCs w:val="24"/>
        </w:rPr>
        <w:t xml:space="preserve"> </w:t>
      </w:r>
      <w:r w:rsidR="00FD006D" w:rsidRPr="00424846">
        <w:rPr>
          <w:rFonts w:ascii="Arial" w:hAnsi="Arial" w:cs="Arial"/>
          <w:sz w:val="24"/>
          <w:szCs w:val="24"/>
        </w:rPr>
        <w:t>building</w:t>
      </w:r>
      <w:r w:rsidR="006B4AF7" w:rsidRPr="00424846">
        <w:rPr>
          <w:rFonts w:ascii="Arial" w:hAnsi="Arial" w:cs="Arial"/>
          <w:sz w:val="24"/>
          <w:szCs w:val="24"/>
        </w:rPr>
        <w:t xml:space="preserve"> resentment towards countries that have</w:t>
      </w:r>
      <w:r w:rsidR="00927326" w:rsidRPr="00424846">
        <w:rPr>
          <w:rFonts w:ascii="Arial" w:hAnsi="Arial" w:cs="Arial"/>
          <w:sz w:val="24"/>
          <w:szCs w:val="24"/>
        </w:rPr>
        <w:t xml:space="preserve"> </w:t>
      </w:r>
      <w:r w:rsidR="00806FAE" w:rsidRPr="00424846">
        <w:rPr>
          <w:rFonts w:ascii="Arial" w:hAnsi="Arial" w:cs="Arial"/>
          <w:sz w:val="24"/>
          <w:szCs w:val="24"/>
        </w:rPr>
        <w:t>subjected them to torture</w:t>
      </w:r>
      <w:r w:rsidR="003D29FF" w:rsidRPr="00424846">
        <w:rPr>
          <w:rFonts w:ascii="Arial" w:hAnsi="Arial" w:cs="Arial"/>
          <w:sz w:val="24"/>
          <w:szCs w:val="24"/>
        </w:rPr>
        <w:t>. Resulting</w:t>
      </w:r>
      <w:r w:rsidR="00FD006D" w:rsidRPr="00424846">
        <w:rPr>
          <w:rFonts w:ascii="Arial" w:hAnsi="Arial" w:cs="Arial"/>
          <w:sz w:val="24"/>
          <w:szCs w:val="24"/>
        </w:rPr>
        <w:t xml:space="preserve">, </w:t>
      </w:r>
      <w:r w:rsidR="00806FAE" w:rsidRPr="00424846">
        <w:rPr>
          <w:rFonts w:ascii="Arial" w:hAnsi="Arial" w:cs="Arial"/>
          <w:sz w:val="24"/>
          <w:szCs w:val="24"/>
        </w:rPr>
        <w:t>‘</w:t>
      </w:r>
      <w:r w:rsidR="00FD006D" w:rsidRPr="00424846">
        <w:rPr>
          <w:rFonts w:ascii="Arial" w:hAnsi="Arial" w:cs="Arial"/>
          <w:sz w:val="24"/>
          <w:szCs w:val="24"/>
        </w:rPr>
        <w:t>[in] an emergence</w:t>
      </w:r>
      <w:r w:rsidR="00806FAE" w:rsidRPr="00424846">
        <w:rPr>
          <w:rFonts w:ascii="Arial" w:hAnsi="Arial" w:cs="Arial"/>
          <w:sz w:val="24"/>
          <w:szCs w:val="24"/>
        </w:rPr>
        <w:t xml:space="preserve"> from the </w:t>
      </w:r>
      <w:r w:rsidR="0093414A" w:rsidRPr="00424846">
        <w:rPr>
          <w:rFonts w:ascii="Arial" w:hAnsi="Arial" w:cs="Arial"/>
          <w:sz w:val="24"/>
          <w:szCs w:val="24"/>
        </w:rPr>
        <w:t>torturee…</w:t>
      </w:r>
      <w:r w:rsidR="00806FAE" w:rsidRPr="00424846">
        <w:rPr>
          <w:rFonts w:ascii="Arial" w:hAnsi="Arial" w:cs="Arial"/>
          <w:sz w:val="24"/>
          <w:szCs w:val="24"/>
        </w:rPr>
        <w:t xml:space="preserve">stronger, more cohesive, both as individuals and as a </w:t>
      </w:r>
      <w:r w:rsidR="00806FAE" w:rsidRPr="00424846">
        <w:rPr>
          <w:rFonts w:ascii="Arial" w:hAnsi="Arial" w:cs="Arial"/>
          <w:sz w:val="24"/>
          <w:szCs w:val="24"/>
        </w:rPr>
        <w:lastRenderedPageBreak/>
        <w:t>group’</w:t>
      </w:r>
      <w:r w:rsidR="00725F33" w:rsidRPr="00424846">
        <w:rPr>
          <w:rStyle w:val="FootnoteReference"/>
          <w:rFonts w:ascii="Arial" w:hAnsi="Arial" w:cs="Arial"/>
          <w:sz w:val="24"/>
          <w:szCs w:val="24"/>
        </w:rPr>
        <w:footnoteReference w:id="151"/>
      </w:r>
      <w:r w:rsidR="00806FAE" w:rsidRPr="00424846">
        <w:rPr>
          <w:rFonts w:ascii="Arial" w:hAnsi="Arial" w:cs="Arial"/>
          <w:sz w:val="24"/>
          <w:szCs w:val="24"/>
        </w:rPr>
        <w:t xml:space="preserve"> susceptible to terrorist propaganda</w:t>
      </w:r>
      <w:r w:rsidR="00FD006D" w:rsidRPr="00424846">
        <w:rPr>
          <w:rFonts w:ascii="Arial" w:hAnsi="Arial" w:cs="Arial"/>
          <w:sz w:val="24"/>
          <w:szCs w:val="24"/>
        </w:rPr>
        <w:t xml:space="preserve">. </w:t>
      </w:r>
      <w:r w:rsidR="00725F33" w:rsidRPr="00424846">
        <w:rPr>
          <w:rFonts w:ascii="Arial" w:hAnsi="Arial" w:cs="Arial"/>
          <w:sz w:val="24"/>
          <w:szCs w:val="24"/>
        </w:rPr>
        <w:t>Perry</w:t>
      </w:r>
      <w:r w:rsidR="007E33BB" w:rsidRPr="00424846">
        <w:rPr>
          <w:rFonts w:ascii="Arial" w:hAnsi="Arial" w:cs="Arial"/>
          <w:sz w:val="24"/>
          <w:szCs w:val="24"/>
        </w:rPr>
        <w:t xml:space="preserve"> discusses how</w:t>
      </w:r>
      <w:r w:rsidR="00725F33" w:rsidRPr="00424846">
        <w:rPr>
          <w:rFonts w:ascii="Arial" w:hAnsi="Arial" w:cs="Arial"/>
          <w:sz w:val="24"/>
          <w:szCs w:val="24"/>
        </w:rPr>
        <w:t xml:space="preserve"> the </w:t>
      </w:r>
      <w:r w:rsidR="007E33BB" w:rsidRPr="00424846">
        <w:rPr>
          <w:rFonts w:ascii="Arial" w:hAnsi="Arial" w:cs="Arial"/>
          <w:sz w:val="24"/>
          <w:szCs w:val="24"/>
        </w:rPr>
        <w:t xml:space="preserve">Israeli </w:t>
      </w:r>
      <w:r w:rsidR="00157B5F" w:rsidRPr="00424846">
        <w:rPr>
          <w:rFonts w:ascii="Arial" w:hAnsi="Arial" w:cs="Arial"/>
          <w:sz w:val="24"/>
          <w:szCs w:val="24"/>
        </w:rPr>
        <w:t>Intifada</w:t>
      </w:r>
      <w:r w:rsidR="00927326" w:rsidRPr="00424846">
        <w:rPr>
          <w:rFonts w:ascii="Arial" w:hAnsi="Arial" w:cs="Arial"/>
          <w:sz w:val="24"/>
          <w:szCs w:val="24"/>
        </w:rPr>
        <w:t xml:space="preserve"> lead to this outcome, </w:t>
      </w:r>
      <w:r w:rsidR="00725F33" w:rsidRPr="00424846">
        <w:rPr>
          <w:rFonts w:ascii="Arial" w:hAnsi="Arial" w:cs="Arial"/>
          <w:sz w:val="24"/>
          <w:szCs w:val="24"/>
        </w:rPr>
        <w:t>crea</w:t>
      </w:r>
      <w:r w:rsidR="00927326" w:rsidRPr="00424846">
        <w:rPr>
          <w:rFonts w:ascii="Arial" w:hAnsi="Arial" w:cs="Arial"/>
          <w:sz w:val="24"/>
          <w:szCs w:val="24"/>
        </w:rPr>
        <w:t>ting</w:t>
      </w:r>
      <w:r w:rsidR="00725F33" w:rsidRPr="00424846">
        <w:rPr>
          <w:rFonts w:ascii="Arial" w:hAnsi="Arial" w:cs="Arial"/>
          <w:sz w:val="24"/>
          <w:szCs w:val="24"/>
        </w:rPr>
        <w:t xml:space="preserve"> such a strong desire</w:t>
      </w:r>
      <w:r w:rsidR="00927326" w:rsidRPr="00424846">
        <w:rPr>
          <w:rFonts w:ascii="Arial" w:hAnsi="Arial" w:cs="Arial"/>
          <w:sz w:val="24"/>
          <w:szCs w:val="24"/>
        </w:rPr>
        <w:t xml:space="preserve"> for</w:t>
      </w:r>
      <w:r w:rsidR="00725F33" w:rsidRPr="00424846">
        <w:rPr>
          <w:rFonts w:ascii="Arial" w:hAnsi="Arial" w:cs="Arial"/>
          <w:sz w:val="24"/>
          <w:szCs w:val="24"/>
        </w:rPr>
        <w:t xml:space="preserve"> retaliat</w:t>
      </w:r>
      <w:r w:rsidR="00927326" w:rsidRPr="00424846">
        <w:rPr>
          <w:rFonts w:ascii="Arial" w:hAnsi="Arial" w:cs="Arial"/>
          <w:sz w:val="24"/>
          <w:szCs w:val="24"/>
        </w:rPr>
        <w:t>ion</w:t>
      </w:r>
      <w:r w:rsidR="00725F33" w:rsidRPr="00424846">
        <w:rPr>
          <w:rFonts w:ascii="Arial" w:hAnsi="Arial" w:cs="Arial"/>
          <w:sz w:val="24"/>
          <w:szCs w:val="24"/>
        </w:rPr>
        <w:t xml:space="preserve"> against Israeli authorities</w:t>
      </w:r>
      <w:r w:rsidR="00927326" w:rsidRPr="00424846">
        <w:rPr>
          <w:rFonts w:ascii="Arial" w:hAnsi="Arial" w:cs="Arial"/>
          <w:sz w:val="24"/>
          <w:szCs w:val="24"/>
        </w:rPr>
        <w:t xml:space="preserve">, </w:t>
      </w:r>
      <w:r w:rsidR="00725F33" w:rsidRPr="00424846">
        <w:rPr>
          <w:rFonts w:ascii="Arial" w:hAnsi="Arial" w:cs="Arial"/>
          <w:sz w:val="24"/>
          <w:szCs w:val="24"/>
        </w:rPr>
        <w:t>for their unjust detention, torture and death of family members</w:t>
      </w:r>
      <w:r w:rsidR="00725F33" w:rsidRPr="00424846">
        <w:rPr>
          <w:rStyle w:val="FootnoteReference"/>
          <w:rFonts w:ascii="Arial" w:hAnsi="Arial" w:cs="Arial"/>
          <w:sz w:val="24"/>
          <w:szCs w:val="24"/>
        </w:rPr>
        <w:footnoteReference w:id="152"/>
      </w:r>
      <w:r w:rsidR="00725F33" w:rsidRPr="00424846">
        <w:rPr>
          <w:rFonts w:ascii="Arial" w:hAnsi="Arial" w:cs="Arial"/>
          <w:sz w:val="24"/>
          <w:szCs w:val="24"/>
        </w:rPr>
        <w:t xml:space="preserve">.  </w:t>
      </w:r>
      <w:r w:rsidR="00806FAE" w:rsidRPr="00424846">
        <w:rPr>
          <w:rFonts w:ascii="Arial" w:hAnsi="Arial" w:cs="Arial"/>
          <w:sz w:val="24"/>
          <w:szCs w:val="24"/>
        </w:rPr>
        <w:t xml:space="preserve"> </w:t>
      </w:r>
    </w:p>
    <w:p w14:paraId="15429B15" w14:textId="77777777" w:rsidR="00823E1E" w:rsidRPr="00424846" w:rsidRDefault="00823E1E" w:rsidP="00862139">
      <w:pPr>
        <w:spacing w:line="480" w:lineRule="auto"/>
        <w:jc w:val="both"/>
        <w:rPr>
          <w:rFonts w:ascii="Arial" w:hAnsi="Arial" w:cs="Arial"/>
          <w:sz w:val="24"/>
          <w:szCs w:val="24"/>
        </w:rPr>
      </w:pPr>
    </w:p>
    <w:p w14:paraId="24DBCD70" w14:textId="77777777" w:rsidR="00B017D7" w:rsidRDefault="00B017D7" w:rsidP="00862139">
      <w:pPr>
        <w:spacing w:line="480" w:lineRule="auto"/>
        <w:jc w:val="both"/>
        <w:rPr>
          <w:rFonts w:ascii="Arial" w:hAnsi="Arial" w:cs="Arial"/>
          <w:sz w:val="24"/>
          <w:szCs w:val="24"/>
        </w:rPr>
      </w:pPr>
    </w:p>
    <w:p w14:paraId="029EF596" w14:textId="77777777" w:rsidR="00B017D7" w:rsidRDefault="00B017D7" w:rsidP="00862139">
      <w:pPr>
        <w:spacing w:line="480" w:lineRule="auto"/>
        <w:jc w:val="both"/>
        <w:rPr>
          <w:rFonts w:ascii="Arial" w:hAnsi="Arial" w:cs="Arial"/>
          <w:sz w:val="24"/>
          <w:szCs w:val="24"/>
        </w:rPr>
      </w:pPr>
    </w:p>
    <w:p w14:paraId="614E94AF" w14:textId="77777777" w:rsidR="00B017D7" w:rsidRDefault="00B017D7" w:rsidP="00862139">
      <w:pPr>
        <w:spacing w:line="480" w:lineRule="auto"/>
        <w:jc w:val="both"/>
        <w:rPr>
          <w:rFonts w:ascii="Arial" w:hAnsi="Arial" w:cs="Arial"/>
          <w:sz w:val="24"/>
          <w:szCs w:val="24"/>
        </w:rPr>
      </w:pPr>
    </w:p>
    <w:p w14:paraId="1E7DC7FF" w14:textId="77777777" w:rsidR="00B017D7" w:rsidRDefault="00B017D7" w:rsidP="00862139">
      <w:pPr>
        <w:spacing w:line="480" w:lineRule="auto"/>
        <w:jc w:val="both"/>
        <w:rPr>
          <w:rFonts w:ascii="Arial" w:hAnsi="Arial" w:cs="Arial"/>
          <w:sz w:val="24"/>
          <w:szCs w:val="24"/>
        </w:rPr>
      </w:pPr>
    </w:p>
    <w:p w14:paraId="537F2E1C" w14:textId="77777777" w:rsidR="00B017D7" w:rsidRDefault="00B017D7" w:rsidP="00862139">
      <w:pPr>
        <w:spacing w:line="480" w:lineRule="auto"/>
        <w:jc w:val="both"/>
        <w:rPr>
          <w:rFonts w:ascii="Arial" w:hAnsi="Arial" w:cs="Arial"/>
          <w:sz w:val="24"/>
          <w:szCs w:val="24"/>
        </w:rPr>
      </w:pPr>
    </w:p>
    <w:p w14:paraId="3CCC6ACA" w14:textId="77777777" w:rsidR="00B017D7" w:rsidRDefault="00B017D7" w:rsidP="00862139">
      <w:pPr>
        <w:spacing w:line="480" w:lineRule="auto"/>
        <w:jc w:val="both"/>
        <w:rPr>
          <w:rFonts w:ascii="Arial" w:hAnsi="Arial" w:cs="Arial"/>
          <w:sz w:val="24"/>
          <w:szCs w:val="24"/>
        </w:rPr>
      </w:pPr>
    </w:p>
    <w:p w14:paraId="1CFB3ACE" w14:textId="77777777" w:rsidR="00B017D7" w:rsidRDefault="00B017D7" w:rsidP="00862139">
      <w:pPr>
        <w:spacing w:line="480" w:lineRule="auto"/>
        <w:jc w:val="both"/>
        <w:rPr>
          <w:rFonts w:ascii="Arial" w:hAnsi="Arial" w:cs="Arial"/>
          <w:sz w:val="24"/>
          <w:szCs w:val="24"/>
        </w:rPr>
      </w:pPr>
    </w:p>
    <w:p w14:paraId="73A5777B" w14:textId="77777777" w:rsidR="00B017D7" w:rsidRDefault="00B017D7" w:rsidP="00862139">
      <w:pPr>
        <w:spacing w:line="480" w:lineRule="auto"/>
        <w:jc w:val="both"/>
        <w:rPr>
          <w:rFonts w:ascii="Arial" w:hAnsi="Arial" w:cs="Arial"/>
          <w:sz w:val="24"/>
          <w:szCs w:val="24"/>
        </w:rPr>
      </w:pPr>
    </w:p>
    <w:p w14:paraId="5CA812BF" w14:textId="77777777" w:rsidR="00B017D7" w:rsidRDefault="00B017D7" w:rsidP="00862139">
      <w:pPr>
        <w:spacing w:line="480" w:lineRule="auto"/>
        <w:jc w:val="both"/>
        <w:rPr>
          <w:rFonts w:ascii="Arial" w:hAnsi="Arial" w:cs="Arial"/>
          <w:sz w:val="24"/>
          <w:szCs w:val="24"/>
        </w:rPr>
      </w:pPr>
    </w:p>
    <w:p w14:paraId="68814A05" w14:textId="77777777" w:rsidR="00B017D7" w:rsidRDefault="00B017D7" w:rsidP="00862139">
      <w:pPr>
        <w:spacing w:line="480" w:lineRule="auto"/>
        <w:jc w:val="both"/>
        <w:rPr>
          <w:rFonts w:ascii="Arial" w:hAnsi="Arial" w:cs="Arial"/>
          <w:sz w:val="24"/>
          <w:szCs w:val="24"/>
        </w:rPr>
      </w:pPr>
    </w:p>
    <w:p w14:paraId="2CF4368E" w14:textId="77777777" w:rsidR="00B017D7" w:rsidRDefault="00B017D7" w:rsidP="00862139">
      <w:pPr>
        <w:spacing w:line="480" w:lineRule="auto"/>
        <w:jc w:val="both"/>
        <w:rPr>
          <w:rFonts w:ascii="Arial" w:hAnsi="Arial" w:cs="Arial"/>
          <w:sz w:val="24"/>
          <w:szCs w:val="24"/>
        </w:rPr>
      </w:pPr>
    </w:p>
    <w:p w14:paraId="67A3FA2D" w14:textId="77777777" w:rsidR="00B017D7" w:rsidRDefault="00B017D7" w:rsidP="00862139">
      <w:pPr>
        <w:spacing w:line="480" w:lineRule="auto"/>
        <w:jc w:val="both"/>
        <w:rPr>
          <w:rFonts w:ascii="Arial" w:hAnsi="Arial" w:cs="Arial"/>
          <w:sz w:val="24"/>
          <w:szCs w:val="24"/>
        </w:rPr>
      </w:pPr>
    </w:p>
    <w:p w14:paraId="503B97CA" w14:textId="77777777" w:rsidR="00B017D7" w:rsidRDefault="00B017D7" w:rsidP="00862139">
      <w:pPr>
        <w:spacing w:line="480" w:lineRule="auto"/>
        <w:jc w:val="both"/>
        <w:rPr>
          <w:rFonts w:ascii="Arial" w:hAnsi="Arial" w:cs="Arial"/>
          <w:sz w:val="24"/>
          <w:szCs w:val="24"/>
        </w:rPr>
      </w:pPr>
    </w:p>
    <w:p w14:paraId="0CE1466D" w14:textId="77777777" w:rsidR="00B017D7" w:rsidRDefault="00B017D7" w:rsidP="00862139">
      <w:pPr>
        <w:spacing w:line="480" w:lineRule="auto"/>
        <w:jc w:val="both"/>
        <w:rPr>
          <w:rFonts w:ascii="Arial" w:hAnsi="Arial" w:cs="Arial"/>
          <w:sz w:val="24"/>
          <w:szCs w:val="24"/>
        </w:rPr>
      </w:pPr>
    </w:p>
    <w:p w14:paraId="58C8D547" w14:textId="2D46B6D8" w:rsidR="00756DF1" w:rsidRPr="00B017D7" w:rsidRDefault="00756DF1" w:rsidP="00B017D7">
      <w:pPr>
        <w:spacing w:line="480" w:lineRule="auto"/>
        <w:jc w:val="center"/>
        <w:rPr>
          <w:rFonts w:ascii="Arial" w:hAnsi="Arial" w:cs="Arial"/>
          <w:b/>
          <w:bCs/>
          <w:sz w:val="24"/>
          <w:szCs w:val="24"/>
          <w:u w:val="single"/>
        </w:rPr>
      </w:pPr>
      <w:r w:rsidRPr="00B017D7">
        <w:rPr>
          <w:rFonts w:ascii="Arial" w:hAnsi="Arial" w:cs="Arial"/>
          <w:b/>
          <w:bCs/>
          <w:sz w:val="24"/>
          <w:szCs w:val="24"/>
          <w:u w:val="single"/>
        </w:rPr>
        <w:lastRenderedPageBreak/>
        <w:t>Abu Ghraib:</w:t>
      </w:r>
    </w:p>
    <w:p w14:paraId="4799F897" w14:textId="04170E4E" w:rsidR="006166BB" w:rsidRPr="00424846" w:rsidRDefault="00756DF1" w:rsidP="00862139">
      <w:pPr>
        <w:spacing w:line="480" w:lineRule="auto"/>
        <w:jc w:val="both"/>
        <w:rPr>
          <w:rFonts w:ascii="Arial" w:hAnsi="Arial" w:cs="Arial"/>
          <w:sz w:val="24"/>
          <w:szCs w:val="24"/>
        </w:rPr>
      </w:pPr>
      <w:r w:rsidRPr="00424846">
        <w:rPr>
          <w:rFonts w:ascii="Arial" w:hAnsi="Arial" w:cs="Arial"/>
          <w:sz w:val="24"/>
          <w:szCs w:val="24"/>
        </w:rPr>
        <w:t xml:space="preserve">The </w:t>
      </w:r>
      <w:r w:rsidR="00D37317" w:rsidRPr="00424846">
        <w:rPr>
          <w:rFonts w:ascii="Arial" w:hAnsi="Arial" w:cs="Arial"/>
          <w:sz w:val="24"/>
          <w:szCs w:val="24"/>
        </w:rPr>
        <w:t>American rendition detention camp</w:t>
      </w:r>
      <w:r w:rsidR="006166BB" w:rsidRPr="00424846">
        <w:rPr>
          <w:rFonts w:ascii="Arial" w:hAnsi="Arial" w:cs="Arial"/>
          <w:sz w:val="24"/>
          <w:szCs w:val="24"/>
        </w:rPr>
        <w:t>,</w:t>
      </w:r>
      <w:r w:rsidR="00D37317" w:rsidRPr="00424846">
        <w:rPr>
          <w:rFonts w:ascii="Arial" w:hAnsi="Arial" w:cs="Arial"/>
          <w:sz w:val="24"/>
          <w:szCs w:val="24"/>
        </w:rPr>
        <w:t xml:space="preserve"> </w:t>
      </w:r>
      <w:r w:rsidRPr="00424846">
        <w:rPr>
          <w:rFonts w:ascii="Arial" w:hAnsi="Arial" w:cs="Arial"/>
          <w:sz w:val="24"/>
          <w:szCs w:val="24"/>
        </w:rPr>
        <w:t>Abu Ghraib</w:t>
      </w:r>
      <w:r w:rsidR="006166BB" w:rsidRPr="00424846">
        <w:rPr>
          <w:rFonts w:ascii="Arial" w:hAnsi="Arial" w:cs="Arial"/>
          <w:sz w:val="24"/>
          <w:szCs w:val="24"/>
        </w:rPr>
        <w:t xml:space="preserve">, </w:t>
      </w:r>
      <w:r w:rsidRPr="00424846">
        <w:rPr>
          <w:rFonts w:ascii="Arial" w:hAnsi="Arial" w:cs="Arial"/>
          <w:sz w:val="24"/>
          <w:szCs w:val="24"/>
        </w:rPr>
        <w:t xml:space="preserve">is a </w:t>
      </w:r>
      <w:r w:rsidR="00D37317" w:rsidRPr="00424846">
        <w:rPr>
          <w:rFonts w:ascii="Arial" w:hAnsi="Arial" w:cs="Arial"/>
          <w:sz w:val="24"/>
          <w:szCs w:val="24"/>
        </w:rPr>
        <w:t xml:space="preserve">famous and </w:t>
      </w:r>
      <w:r w:rsidRPr="00424846">
        <w:rPr>
          <w:rFonts w:ascii="Arial" w:hAnsi="Arial" w:cs="Arial"/>
          <w:sz w:val="24"/>
          <w:szCs w:val="24"/>
        </w:rPr>
        <w:t xml:space="preserve">useful </w:t>
      </w:r>
      <w:r w:rsidR="00D37317" w:rsidRPr="00424846">
        <w:rPr>
          <w:rFonts w:ascii="Arial" w:hAnsi="Arial" w:cs="Arial"/>
          <w:sz w:val="24"/>
          <w:szCs w:val="24"/>
        </w:rPr>
        <w:t>case study</w:t>
      </w:r>
      <w:r w:rsidRPr="00424846">
        <w:rPr>
          <w:rFonts w:ascii="Arial" w:hAnsi="Arial" w:cs="Arial"/>
          <w:sz w:val="24"/>
          <w:szCs w:val="24"/>
        </w:rPr>
        <w:t xml:space="preserve"> </w:t>
      </w:r>
      <w:r w:rsidR="00D37317" w:rsidRPr="00424846">
        <w:rPr>
          <w:rFonts w:ascii="Arial" w:hAnsi="Arial" w:cs="Arial"/>
          <w:sz w:val="24"/>
          <w:szCs w:val="24"/>
        </w:rPr>
        <w:t>indicating how</w:t>
      </w:r>
      <w:r w:rsidRPr="00424846">
        <w:rPr>
          <w:rFonts w:ascii="Arial" w:hAnsi="Arial" w:cs="Arial"/>
          <w:sz w:val="24"/>
          <w:szCs w:val="24"/>
        </w:rPr>
        <w:t xml:space="preserve"> </w:t>
      </w:r>
      <w:r w:rsidR="006166BB" w:rsidRPr="00424846">
        <w:rPr>
          <w:rFonts w:ascii="Arial" w:hAnsi="Arial" w:cs="Arial"/>
          <w:sz w:val="24"/>
          <w:szCs w:val="24"/>
        </w:rPr>
        <w:t>state</w:t>
      </w:r>
      <w:r w:rsidR="005736F1" w:rsidRPr="00424846">
        <w:rPr>
          <w:rFonts w:ascii="Arial" w:hAnsi="Arial" w:cs="Arial"/>
          <w:sz w:val="24"/>
          <w:szCs w:val="24"/>
        </w:rPr>
        <w:t>-</w:t>
      </w:r>
      <w:r w:rsidR="00D37317" w:rsidRPr="00424846">
        <w:rPr>
          <w:rFonts w:ascii="Arial" w:hAnsi="Arial" w:cs="Arial"/>
          <w:sz w:val="24"/>
          <w:szCs w:val="24"/>
        </w:rPr>
        <w:t xml:space="preserve">sanctioned </w:t>
      </w:r>
      <w:r w:rsidR="006166BB" w:rsidRPr="00424846">
        <w:rPr>
          <w:rFonts w:ascii="Arial" w:hAnsi="Arial" w:cs="Arial"/>
          <w:sz w:val="24"/>
          <w:szCs w:val="24"/>
        </w:rPr>
        <w:t>torture</w:t>
      </w:r>
      <w:r w:rsidR="00D37317" w:rsidRPr="00424846">
        <w:rPr>
          <w:rFonts w:ascii="Arial" w:hAnsi="Arial" w:cs="Arial"/>
          <w:sz w:val="24"/>
          <w:szCs w:val="24"/>
        </w:rPr>
        <w:t xml:space="preserve"> </w:t>
      </w:r>
      <w:r w:rsidRPr="00424846">
        <w:rPr>
          <w:rFonts w:ascii="Arial" w:hAnsi="Arial" w:cs="Arial"/>
          <w:sz w:val="24"/>
          <w:szCs w:val="24"/>
        </w:rPr>
        <w:t>could lead to a slippery slope</w:t>
      </w:r>
      <w:r w:rsidR="00F76C25" w:rsidRPr="00424846">
        <w:rPr>
          <w:rFonts w:ascii="Arial" w:hAnsi="Arial" w:cs="Arial"/>
          <w:sz w:val="24"/>
          <w:szCs w:val="24"/>
        </w:rPr>
        <w:t>.</w:t>
      </w:r>
    </w:p>
    <w:p w14:paraId="2C5A5FEB" w14:textId="3D4B8BA4" w:rsidR="00D1406C" w:rsidRPr="00424846" w:rsidRDefault="006166BB" w:rsidP="00862139">
      <w:pPr>
        <w:spacing w:line="480" w:lineRule="auto"/>
        <w:jc w:val="both"/>
        <w:rPr>
          <w:rFonts w:ascii="Arial" w:hAnsi="Arial" w:cs="Arial"/>
          <w:sz w:val="24"/>
          <w:szCs w:val="24"/>
        </w:rPr>
      </w:pPr>
      <w:r w:rsidRPr="00424846">
        <w:rPr>
          <w:rFonts w:ascii="Arial" w:hAnsi="Arial" w:cs="Arial"/>
          <w:sz w:val="24"/>
          <w:szCs w:val="24"/>
        </w:rPr>
        <w:t>T</w:t>
      </w:r>
      <w:r w:rsidR="00F76C25" w:rsidRPr="00424846">
        <w:rPr>
          <w:rFonts w:ascii="Arial" w:hAnsi="Arial" w:cs="Arial"/>
          <w:sz w:val="24"/>
          <w:szCs w:val="24"/>
        </w:rPr>
        <w:t>he USA Patriot</w:t>
      </w:r>
      <w:r w:rsidRPr="00424846">
        <w:rPr>
          <w:rFonts w:ascii="Arial" w:hAnsi="Arial" w:cs="Arial"/>
          <w:sz w:val="24"/>
          <w:szCs w:val="24"/>
        </w:rPr>
        <w:t>’s</w:t>
      </w:r>
      <w:r w:rsidR="00F76C25" w:rsidRPr="00424846">
        <w:rPr>
          <w:rFonts w:ascii="Arial" w:hAnsi="Arial" w:cs="Arial"/>
          <w:sz w:val="24"/>
          <w:szCs w:val="24"/>
        </w:rPr>
        <w:t xml:space="preserve"> Act</w:t>
      </w:r>
      <w:r w:rsidR="00312375" w:rsidRPr="00424846">
        <w:rPr>
          <w:rStyle w:val="FootnoteReference"/>
          <w:rFonts w:ascii="Arial" w:hAnsi="Arial" w:cs="Arial"/>
          <w:sz w:val="24"/>
          <w:szCs w:val="24"/>
        </w:rPr>
        <w:footnoteReference w:id="153"/>
      </w:r>
      <w:r w:rsidR="00F76C25" w:rsidRPr="00424846">
        <w:rPr>
          <w:rFonts w:ascii="Arial" w:hAnsi="Arial" w:cs="Arial"/>
          <w:sz w:val="24"/>
          <w:szCs w:val="24"/>
        </w:rPr>
        <w:t xml:space="preserve"> granted interrogators with far reaching anti-terrorist powers, </w:t>
      </w:r>
      <w:r w:rsidR="005736F1" w:rsidRPr="00424846">
        <w:rPr>
          <w:rFonts w:ascii="Arial" w:hAnsi="Arial" w:cs="Arial"/>
          <w:sz w:val="24"/>
          <w:szCs w:val="24"/>
        </w:rPr>
        <w:t>limited at</w:t>
      </w:r>
      <w:r w:rsidR="00FE27BB" w:rsidRPr="00424846">
        <w:rPr>
          <w:rFonts w:ascii="Arial" w:hAnsi="Arial" w:cs="Arial"/>
          <w:sz w:val="24"/>
          <w:szCs w:val="24"/>
        </w:rPr>
        <w:t xml:space="preserve"> </w:t>
      </w:r>
      <w:r w:rsidR="00F76C25" w:rsidRPr="00424846">
        <w:rPr>
          <w:rFonts w:ascii="Arial" w:hAnsi="Arial" w:cs="Arial"/>
          <w:sz w:val="24"/>
          <w:szCs w:val="24"/>
        </w:rPr>
        <w:t xml:space="preserve">torture, to investigate and adequately prepare the state in their war against terror. </w:t>
      </w:r>
      <w:r w:rsidR="005736F1" w:rsidRPr="00424846">
        <w:rPr>
          <w:rFonts w:ascii="Arial" w:hAnsi="Arial" w:cs="Arial"/>
          <w:sz w:val="24"/>
          <w:szCs w:val="24"/>
        </w:rPr>
        <w:t>T</w:t>
      </w:r>
      <w:r w:rsidR="00F76C25" w:rsidRPr="00424846">
        <w:rPr>
          <w:rFonts w:ascii="Arial" w:hAnsi="Arial" w:cs="Arial"/>
          <w:sz w:val="24"/>
          <w:szCs w:val="24"/>
        </w:rPr>
        <w:t>hese techniques were implemented in Guantanamo Bay under very controlled conditions, however, became very problematic</w:t>
      </w:r>
      <w:r w:rsidR="005736F1" w:rsidRPr="00424846">
        <w:rPr>
          <w:rFonts w:ascii="Arial" w:hAnsi="Arial" w:cs="Arial"/>
          <w:sz w:val="24"/>
          <w:szCs w:val="24"/>
        </w:rPr>
        <w:t>, when</w:t>
      </w:r>
      <w:r w:rsidR="00F76C25" w:rsidRPr="00424846">
        <w:rPr>
          <w:rFonts w:ascii="Arial" w:hAnsi="Arial" w:cs="Arial"/>
          <w:sz w:val="24"/>
          <w:szCs w:val="24"/>
        </w:rPr>
        <w:t xml:space="preserve"> they migrated their camp </w:t>
      </w:r>
      <w:r w:rsidR="001E5390" w:rsidRPr="00424846">
        <w:rPr>
          <w:rFonts w:ascii="Arial" w:hAnsi="Arial" w:cs="Arial"/>
          <w:sz w:val="24"/>
          <w:szCs w:val="24"/>
        </w:rPr>
        <w:t>to Abu Ghraib</w:t>
      </w:r>
      <w:r w:rsidR="00C8058D" w:rsidRPr="00424846">
        <w:rPr>
          <w:rFonts w:ascii="Arial" w:hAnsi="Arial" w:cs="Arial"/>
          <w:sz w:val="24"/>
          <w:szCs w:val="24"/>
        </w:rPr>
        <w:t>, Iraq</w:t>
      </w:r>
      <w:r w:rsidR="001C452A" w:rsidRPr="00424846">
        <w:rPr>
          <w:rStyle w:val="FootnoteReference"/>
          <w:rFonts w:ascii="Arial" w:hAnsi="Arial" w:cs="Arial"/>
          <w:sz w:val="24"/>
          <w:szCs w:val="24"/>
        </w:rPr>
        <w:footnoteReference w:id="154"/>
      </w:r>
      <w:r w:rsidR="005736F1" w:rsidRPr="00424846">
        <w:rPr>
          <w:rFonts w:ascii="Arial" w:hAnsi="Arial" w:cs="Arial"/>
          <w:sz w:val="24"/>
          <w:szCs w:val="24"/>
        </w:rPr>
        <w:t xml:space="preserve">. There, </w:t>
      </w:r>
      <w:r w:rsidR="001E5390" w:rsidRPr="00424846">
        <w:rPr>
          <w:rFonts w:ascii="Arial" w:hAnsi="Arial" w:cs="Arial"/>
          <w:sz w:val="24"/>
          <w:szCs w:val="24"/>
        </w:rPr>
        <w:t>the</w:t>
      </w:r>
      <w:r w:rsidR="005736F1" w:rsidRPr="00424846">
        <w:rPr>
          <w:rFonts w:ascii="Arial" w:hAnsi="Arial" w:cs="Arial"/>
          <w:sz w:val="24"/>
          <w:szCs w:val="24"/>
        </w:rPr>
        <w:t xml:space="preserve"> limitations </w:t>
      </w:r>
      <w:r w:rsidR="001E5390" w:rsidRPr="00424846">
        <w:rPr>
          <w:rFonts w:ascii="Arial" w:hAnsi="Arial" w:cs="Arial"/>
          <w:sz w:val="24"/>
          <w:szCs w:val="24"/>
        </w:rPr>
        <w:t>became blurred</w:t>
      </w:r>
      <w:r w:rsidR="005736F1" w:rsidRPr="00424846">
        <w:rPr>
          <w:rFonts w:ascii="Arial" w:hAnsi="Arial" w:cs="Arial"/>
          <w:sz w:val="24"/>
          <w:szCs w:val="24"/>
        </w:rPr>
        <w:t xml:space="preserve">, </w:t>
      </w:r>
      <w:r w:rsidR="001E5390" w:rsidRPr="00424846">
        <w:rPr>
          <w:rFonts w:ascii="Arial" w:hAnsi="Arial" w:cs="Arial"/>
          <w:sz w:val="24"/>
          <w:szCs w:val="24"/>
        </w:rPr>
        <w:t>resulting in the most abhorrent and dehumanizing treatment experienced by detainees</w:t>
      </w:r>
      <w:r w:rsidR="00450D65" w:rsidRPr="00424846">
        <w:rPr>
          <w:rStyle w:val="FootnoteReference"/>
          <w:rFonts w:ascii="Arial" w:hAnsi="Arial" w:cs="Arial"/>
          <w:sz w:val="24"/>
          <w:szCs w:val="24"/>
        </w:rPr>
        <w:footnoteReference w:id="155"/>
      </w:r>
      <w:r w:rsidR="005736F1" w:rsidRPr="00424846">
        <w:rPr>
          <w:rFonts w:ascii="Arial" w:hAnsi="Arial" w:cs="Arial"/>
          <w:sz w:val="24"/>
          <w:szCs w:val="24"/>
        </w:rPr>
        <w:t xml:space="preserve">, </w:t>
      </w:r>
      <w:r w:rsidR="001E5390" w:rsidRPr="00424846">
        <w:rPr>
          <w:rFonts w:ascii="Arial" w:hAnsi="Arial" w:cs="Arial"/>
          <w:sz w:val="24"/>
          <w:szCs w:val="24"/>
        </w:rPr>
        <w:t xml:space="preserve">with no goal in mind as they were tortured without interrogation. </w:t>
      </w:r>
      <w:r w:rsidR="00D1406C" w:rsidRPr="00424846">
        <w:rPr>
          <w:rFonts w:ascii="Arial" w:hAnsi="Arial" w:cs="Arial"/>
          <w:sz w:val="24"/>
          <w:szCs w:val="24"/>
        </w:rPr>
        <w:t xml:space="preserve">Resembling </w:t>
      </w:r>
      <w:r w:rsidR="00C8058D" w:rsidRPr="00424846">
        <w:rPr>
          <w:rFonts w:ascii="Arial" w:hAnsi="Arial" w:cs="Arial"/>
          <w:sz w:val="24"/>
          <w:szCs w:val="24"/>
        </w:rPr>
        <w:t xml:space="preserve">something like </w:t>
      </w:r>
      <w:r w:rsidR="00D1406C" w:rsidRPr="00424846">
        <w:rPr>
          <w:rFonts w:ascii="Arial" w:hAnsi="Arial" w:cs="Arial"/>
          <w:sz w:val="24"/>
          <w:szCs w:val="24"/>
        </w:rPr>
        <w:t>the Zimbardo experiment</w:t>
      </w:r>
      <w:r w:rsidR="00D1406C" w:rsidRPr="00424846">
        <w:rPr>
          <w:rStyle w:val="FootnoteReference"/>
          <w:rFonts w:ascii="Arial" w:hAnsi="Arial" w:cs="Arial"/>
          <w:sz w:val="24"/>
          <w:szCs w:val="24"/>
        </w:rPr>
        <w:footnoteReference w:id="156"/>
      </w:r>
      <w:r w:rsidR="005736F1" w:rsidRPr="00424846">
        <w:rPr>
          <w:rFonts w:ascii="Arial" w:hAnsi="Arial" w:cs="Arial"/>
          <w:sz w:val="24"/>
          <w:szCs w:val="24"/>
        </w:rPr>
        <w:t xml:space="preserve">, </w:t>
      </w:r>
      <w:r w:rsidR="001E5390" w:rsidRPr="00424846">
        <w:rPr>
          <w:rFonts w:ascii="Arial" w:hAnsi="Arial" w:cs="Arial"/>
          <w:sz w:val="24"/>
          <w:szCs w:val="24"/>
        </w:rPr>
        <w:t xml:space="preserve"> Secretary Rumsfeld</w:t>
      </w:r>
      <w:r w:rsidR="005736F1" w:rsidRPr="00424846">
        <w:rPr>
          <w:rFonts w:ascii="Arial" w:hAnsi="Arial" w:cs="Arial"/>
          <w:sz w:val="24"/>
          <w:szCs w:val="24"/>
        </w:rPr>
        <w:t xml:space="preserve"> </w:t>
      </w:r>
      <w:r w:rsidR="001E5390" w:rsidRPr="00424846">
        <w:rPr>
          <w:rFonts w:ascii="Arial" w:hAnsi="Arial" w:cs="Arial"/>
          <w:sz w:val="24"/>
          <w:szCs w:val="24"/>
        </w:rPr>
        <w:t xml:space="preserve"> stated that it began with ‘…only those he believed</w:t>
      </w:r>
      <w:r w:rsidR="005736F1" w:rsidRPr="00424846">
        <w:rPr>
          <w:rFonts w:ascii="Arial" w:hAnsi="Arial" w:cs="Arial"/>
          <w:sz w:val="24"/>
          <w:szCs w:val="24"/>
        </w:rPr>
        <w:t xml:space="preserve">, </w:t>
      </w:r>
      <w:r w:rsidR="001E5390" w:rsidRPr="00424846">
        <w:rPr>
          <w:rFonts w:ascii="Arial" w:hAnsi="Arial" w:cs="Arial"/>
          <w:sz w:val="24"/>
          <w:szCs w:val="24"/>
        </w:rPr>
        <w:t>there was a prospect of gathering intelligence from, that can save peoples lives’, then turning ‘…into sadistic, blatant and wanton criminal abuse of ordinary security detainees in occupied Iraq’</w:t>
      </w:r>
      <w:r w:rsidR="00312375" w:rsidRPr="00424846">
        <w:rPr>
          <w:rStyle w:val="FootnoteReference"/>
          <w:rFonts w:ascii="Arial" w:hAnsi="Arial" w:cs="Arial"/>
          <w:sz w:val="24"/>
          <w:szCs w:val="24"/>
        </w:rPr>
        <w:footnoteReference w:id="157"/>
      </w:r>
      <w:r w:rsidR="001E5390" w:rsidRPr="00424846">
        <w:rPr>
          <w:rFonts w:ascii="Arial" w:hAnsi="Arial" w:cs="Arial"/>
          <w:sz w:val="24"/>
          <w:szCs w:val="24"/>
        </w:rPr>
        <w:t xml:space="preserve">. Justifying </w:t>
      </w:r>
      <w:r w:rsidR="00C304F7" w:rsidRPr="00424846">
        <w:rPr>
          <w:rFonts w:ascii="Arial" w:hAnsi="Arial" w:cs="Arial"/>
          <w:sz w:val="24"/>
          <w:szCs w:val="24"/>
        </w:rPr>
        <w:t>the argument that a judicial warrant for torture, no matter what limits are placed on it, not unlike the Patriot</w:t>
      </w:r>
      <w:r w:rsidR="00450D65" w:rsidRPr="00424846">
        <w:rPr>
          <w:rFonts w:ascii="Arial" w:hAnsi="Arial" w:cs="Arial"/>
          <w:sz w:val="24"/>
          <w:szCs w:val="24"/>
        </w:rPr>
        <w:t>s</w:t>
      </w:r>
      <w:r w:rsidR="00C304F7" w:rsidRPr="00424846">
        <w:rPr>
          <w:rFonts w:ascii="Arial" w:hAnsi="Arial" w:cs="Arial"/>
          <w:sz w:val="24"/>
          <w:szCs w:val="24"/>
        </w:rPr>
        <w:t xml:space="preserve"> Act, cannot prevent the extreme abuse of power, inhumane and degrading treatment</w:t>
      </w:r>
      <w:r w:rsidR="006511B6" w:rsidRPr="00424846">
        <w:rPr>
          <w:rFonts w:ascii="Arial" w:hAnsi="Arial" w:cs="Arial"/>
          <w:sz w:val="24"/>
          <w:szCs w:val="24"/>
        </w:rPr>
        <w:t xml:space="preserve">, </w:t>
      </w:r>
      <w:r w:rsidR="00C304F7" w:rsidRPr="00424846">
        <w:rPr>
          <w:rFonts w:ascii="Arial" w:hAnsi="Arial" w:cs="Arial"/>
          <w:sz w:val="24"/>
          <w:szCs w:val="24"/>
        </w:rPr>
        <w:t xml:space="preserve">detainees </w:t>
      </w:r>
      <w:r w:rsidR="00C8058D" w:rsidRPr="00424846">
        <w:rPr>
          <w:rFonts w:ascii="Arial" w:hAnsi="Arial" w:cs="Arial"/>
          <w:sz w:val="24"/>
          <w:szCs w:val="24"/>
        </w:rPr>
        <w:t xml:space="preserve">will </w:t>
      </w:r>
      <w:r w:rsidR="00C304F7" w:rsidRPr="00424846">
        <w:rPr>
          <w:rFonts w:ascii="Arial" w:hAnsi="Arial" w:cs="Arial"/>
          <w:sz w:val="24"/>
          <w:szCs w:val="24"/>
        </w:rPr>
        <w:t>receive from</w:t>
      </w:r>
      <w:r w:rsidR="00C8058D" w:rsidRPr="00424846">
        <w:rPr>
          <w:rFonts w:ascii="Arial" w:hAnsi="Arial" w:cs="Arial"/>
          <w:sz w:val="24"/>
          <w:szCs w:val="24"/>
        </w:rPr>
        <w:t xml:space="preserve">, even the most, </w:t>
      </w:r>
      <w:r w:rsidR="00C304F7" w:rsidRPr="00424846">
        <w:rPr>
          <w:rFonts w:ascii="Arial" w:hAnsi="Arial" w:cs="Arial"/>
          <w:sz w:val="24"/>
          <w:szCs w:val="24"/>
        </w:rPr>
        <w:t>trained national security operatives and interrogators. We risk producing the same outcome</w:t>
      </w:r>
      <w:r w:rsidR="00450D65" w:rsidRPr="00424846">
        <w:rPr>
          <w:rFonts w:ascii="Arial" w:hAnsi="Arial" w:cs="Arial"/>
          <w:sz w:val="24"/>
          <w:szCs w:val="24"/>
        </w:rPr>
        <w:t>, by</w:t>
      </w:r>
      <w:r w:rsidR="00C304F7" w:rsidRPr="00424846">
        <w:rPr>
          <w:rFonts w:ascii="Arial" w:hAnsi="Arial" w:cs="Arial"/>
          <w:sz w:val="24"/>
          <w:szCs w:val="24"/>
        </w:rPr>
        <w:t xml:space="preserve"> legalis</w:t>
      </w:r>
      <w:r w:rsidR="006511B6" w:rsidRPr="00424846">
        <w:rPr>
          <w:rFonts w:ascii="Arial" w:hAnsi="Arial" w:cs="Arial"/>
          <w:sz w:val="24"/>
          <w:szCs w:val="24"/>
        </w:rPr>
        <w:t>ing</w:t>
      </w:r>
      <w:r w:rsidR="00C304F7" w:rsidRPr="00424846">
        <w:rPr>
          <w:rFonts w:ascii="Arial" w:hAnsi="Arial" w:cs="Arial"/>
          <w:sz w:val="24"/>
          <w:szCs w:val="24"/>
        </w:rPr>
        <w:t xml:space="preserve"> torture</w:t>
      </w:r>
      <w:r w:rsidR="00450D65" w:rsidRPr="00424846">
        <w:rPr>
          <w:rFonts w:ascii="Arial" w:hAnsi="Arial" w:cs="Arial"/>
          <w:sz w:val="24"/>
          <w:szCs w:val="24"/>
        </w:rPr>
        <w:t xml:space="preserve">. </w:t>
      </w:r>
    </w:p>
    <w:p w14:paraId="3C6B9F40" w14:textId="69B75679" w:rsidR="00F43972" w:rsidRPr="00424846" w:rsidRDefault="00D1406C" w:rsidP="00862139">
      <w:pPr>
        <w:spacing w:line="480" w:lineRule="auto"/>
        <w:jc w:val="both"/>
        <w:rPr>
          <w:rFonts w:ascii="Arial" w:hAnsi="Arial" w:cs="Arial"/>
          <w:sz w:val="24"/>
          <w:szCs w:val="24"/>
        </w:rPr>
      </w:pPr>
      <w:r w:rsidRPr="00424846">
        <w:rPr>
          <w:rFonts w:ascii="Arial" w:hAnsi="Arial" w:cs="Arial"/>
          <w:sz w:val="24"/>
          <w:szCs w:val="24"/>
        </w:rPr>
        <w:lastRenderedPageBreak/>
        <w:t>T</w:t>
      </w:r>
      <w:r w:rsidR="00B93677" w:rsidRPr="00424846">
        <w:rPr>
          <w:rFonts w:ascii="Arial" w:hAnsi="Arial" w:cs="Arial"/>
          <w:sz w:val="24"/>
          <w:szCs w:val="24"/>
        </w:rPr>
        <w:t xml:space="preserve">he </w:t>
      </w:r>
      <w:r w:rsidR="00D41EAB" w:rsidRPr="00424846">
        <w:rPr>
          <w:rFonts w:ascii="Arial" w:hAnsi="Arial" w:cs="Arial"/>
          <w:sz w:val="24"/>
          <w:szCs w:val="24"/>
        </w:rPr>
        <w:t>Patriot</w:t>
      </w:r>
      <w:r w:rsidRPr="00424846">
        <w:rPr>
          <w:rFonts w:ascii="Arial" w:hAnsi="Arial" w:cs="Arial"/>
          <w:sz w:val="24"/>
          <w:szCs w:val="24"/>
        </w:rPr>
        <w:t xml:space="preserve">’s </w:t>
      </w:r>
      <w:r w:rsidR="00B93677" w:rsidRPr="00424846">
        <w:rPr>
          <w:rFonts w:ascii="Arial" w:hAnsi="Arial" w:cs="Arial"/>
          <w:sz w:val="24"/>
          <w:szCs w:val="24"/>
        </w:rPr>
        <w:t xml:space="preserve">Act fell short of giving the power of torture to </w:t>
      </w:r>
      <w:r w:rsidR="00492FA2" w:rsidRPr="00424846">
        <w:rPr>
          <w:rFonts w:ascii="Arial" w:hAnsi="Arial" w:cs="Arial"/>
          <w:sz w:val="24"/>
          <w:szCs w:val="24"/>
        </w:rPr>
        <w:t>interrogators, however, this did not prevent interrogators from overstepping their boundaries</w:t>
      </w:r>
      <w:r w:rsidRPr="00424846">
        <w:rPr>
          <w:rFonts w:ascii="Arial" w:hAnsi="Arial" w:cs="Arial"/>
          <w:sz w:val="24"/>
          <w:szCs w:val="24"/>
        </w:rPr>
        <w:t xml:space="preserve">, </w:t>
      </w:r>
      <w:r w:rsidR="00492FA2" w:rsidRPr="00424846">
        <w:rPr>
          <w:rFonts w:ascii="Arial" w:hAnsi="Arial" w:cs="Arial"/>
          <w:sz w:val="24"/>
          <w:szCs w:val="24"/>
        </w:rPr>
        <w:t>which is just as likely to happen,</w:t>
      </w:r>
      <w:r w:rsidRPr="00424846">
        <w:rPr>
          <w:rFonts w:ascii="Arial" w:hAnsi="Arial" w:cs="Arial"/>
          <w:sz w:val="24"/>
          <w:szCs w:val="24"/>
        </w:rPr>
        <w:t xml:space="preserve"> but</w:t>
      </w:r>
      <w:r w:rsidR="00492FA2" w:rsidRPr="00424846">
        <w:rPr>
          <w:rFonts w:ascii="Arial" w:hAnsi="Arial" w:cs="Arial"/>
          <w:sz w:val="24"/>
          <w:szCs w:val="24"/>
        </w:rPr>
        <w:t xml:space="preserve"> worse, </w:t>
      </w:r>
      <w:r w:rsidRPr="00424846">
        <w:rPr>
          <w:rFonts w:ascii="Arial" w:hAnsi="Arial" w:cs="Arial"/>
          <w:sz w:val="24"/>
          <w:szCs w:val="24"/>
        </w:rPr>
        <w:t xml:space="preserve">as </w:t>
      </w:r>
      <w:r w:rsidR="006511B6" w:rsidRPr="00424846">
        <w:rPr>
          <w:rFonts w:ascii="Arial" w:hAnsi="Arial" w:cs="Arial"/>
          <w:sz w:val="24"/>
          <w:szCs w:val="24"/>
        </w:rPr>
        <w:t>we would have legalised it and given them</w:t>
      </w:r>
      <w:r w:rsidRPr="00424846">
        <w:rPr>
          <w:rFonts w:ascii="Arial" w:hAnsi="Arial" w:cs="Arial"/>
          <w:sz w:val="24"/>
          <w:szCs w:val="24"/>
        </w:rPr>
        <w:t xml:space="preserve"> immunity. </w:t>
      </w:r>
      <w:r w:rsidR="00C8058D" w:rsidRPr="00424846">
        <w:rPr>
          <w:rFonts w:ascii="Arial" w:hAnsi="Arial" w:cs="Arial"/>
          <w:sz w:val="24"/>
          <w:szCs w:val="24"/>
        </w:rPr>
        <w:t xml:space="preserve">   </w:t>
      </w:r>
      <w:r w:rsidR="006511B6" w:rsidRPr="00424846">
        <w:rPr>
          <w:rFonts w:ascii="Arial" w:hAnsi="Arial" w:cs="Arial"/>
          <w:sz w:val="24"/>
          <w:szCs w:val="24"/>
        </w:rPr>
        <w:t>Yugal finishes off by adding that ‘those arguing that slippery slope is unavoidable once torture is introduced…can be reassured that their case has been proven’</w:t>
      </w:r>
      <w:r w:rsidR="006511B6" w:rsidRPr="00424846">
        <w:rPr>
          <w:rStyle w:val="FootnoteReference"/>
          <w:rFonts w:ascii="Arial" w:hAnsi="Arial" w:cs="Arial"/>
          <w:sz w:val="24"/>
          <w:szCs w:val="24"/>
        </w:rPr>
        <w:footnoteReference w:id="158"/>
      </w:r>
      <w:r w:rsidR="006511B6" w:rsidRPr="00424846">
        <w:rPr>
          <w:rFonts w:ascii="Arial" w:hAnsi="Arial" w:cs="Arial"/>
          <w:sz w:val="24"/>
          <w:szCs w:val="24"/>
        </w:rPr>
        <w:t>.</w:t>
      </w:r>
    </w:p>
    <w:p w14:paraId="0F51B6CC" w14:textId="77777777" w:rsidR="00E108CD" w:rsidRPr="00424846" w:rsidRDefault="00E108CD" w:rsidP="00862139">
      <w:pPr>
        <w:spacing w:line="480" w:lineRule="auto"/>
        <w:jc w:val="both"/>
        <w:rPr>
          <w:rFonts w:ascii="Arial" w:hAnsi="Arial" w:cs="Arial"/>
          <w:sz w:val="24"/>
          <w:szCs w:val="24"/>
        </w:rPr>
      </w:pPr>
    </w:p>
    <w:p w14:paraId="0E0EDB98" w14:textId="395781CA" w:rsidR="00E108CD" w:rsidRDefault="00E108CD" w:rsidP="00862139">
      <w:pPr>
        <w:spacing w:line="480" w:lineRule="auto"/>
        <w:jc w:val="both"/>
        <w:rPr>
          <w:rFonts w:ascii="Arial" w:hAnsi="Arial" w:cs="Arial"/>
          <w:sz w:val="24"/>
          <w:szCs w:val="24"/>
        </w:rPr>
      </w:pPr>
    </w:p>
    <w:p w14:paraId="6D1AF314" w14:textId="3DEC3828" w:rsidR="00B017D7" w:rsidRDefault="00B017D7" w:rsidP="00862139">
      <w:pPr>
        <w:spacing w:line="480" w:lineRule="auto"/>
        <w:jc w:val="both"/>
        <w:rPr>
          <w:rFonts w:ascii="Arial" w:hAnsi="Arial" w:cs="Arial"/>
          <w:sz w:val="24"/>
          <w:szCs w:val="24"/>
        </w:rPr>
      </w:pPr>
    </w:p>
    <w:p w14:paraId="2A3333F8" w14:textId="095D77FB" w:rsidR="00B017D7" w:rsidRDefault="00B017D7" w:rsidP="00862139">
      <w:pPr>
        <w:spacing w:line="480" w:lineRule="auto"/>
        <w:jc w:val="both"/>
        <w:rPr>
          <w:rFonts w:ascii="Arial" w:hAnsi="Arial" w:cs="Arial"/>
          <w:sz w:val="24"/>
          <w:szCs w:val="24"/>
        </w:rPr>
      </w:pPr>
    </w:p>
    <w:p w14:paraId="61D08537" w14:textId="17936F31" w:rsidR="00B017D7" w:rsidRDefault="00B017D7" w:rsidP="00862139">
      <w:pPr>
        <w:spacing w:line="480" w:lineRule="auto"/>
        <w:jc w:val="both"/>
        <w:rPr>
          <w:rFonts w:ascii="Arial" w:hAnsi="Arial" w:cs="Arial"/>
          <w:sz w:val="24"/>
          <w:szCs w:val="24"/>
        </w:rPr>
      </w:pPr>
    </w:p>
    <w:p w14:paraId="0E1D66F9" w14:textId="19040C77" w:rsidR="00B017D7" w:rsidRDefault="00B017D7" w:rsidP="00862139">
      <w:pPr>
        <w:spacing w:line="480" w:lineRule="auto"/>
        <w:jc w:val="both"/>
        <w:rPr>
          <w:rFonts w:ascii="Arial" w:hAnsi="Arial" w:cs="Arial"/>
          <w:sz w:val="24"/>
          <w:szCs w:val="24"/>
        </w:rPr>
      </w:pPr>
    </w:p>
    <w:p w14:paraId="4B5EF8F0" w14:textId="1580E283" w:rsidR="00B017D7" w:rsidRDefault="00B017D7" w:rsidP="00862139">
      <w:pPr>
        <w:spacing w:line="480" w:lineRule="auto"/>
        <w:jc w:val="both"/>
        <w:rPr>
          <w:rFonts w:ascii="Arial" w:hAnsi="Arial" w:cs="Arial"/>
          <w:sz w:val="24"/>
          <w:szCs w:val="24"/>
        </w:rPr>
      </w:pPr>
    </w:p>
    <w:p w14:paraId="0C7E6E78" w14:textId="6960B1E1" w:rsidR="00B017D7" w:rsidRDefault="00B017D7" w:rsidP="00862139">
      <w:pPr>
        <w:spacing w:line="480" w:lineRule="auto"/>
        <w:jc w:val="both"/>
        <w:rPr>
          <w:rFonts w:ascii="Arial" w:hAnsi="Arial" w:cs="Arial"/>
          <w:sz w:val="24"/>
          <w:szCs w:val="24"/>
        </w:rPr>
      </w:pPr>
    </w:p>
    <w:p w14:paraId="3D94FF19" w14:textId="180B2D50" w:rsidR="00B017D7" w:rsidRDefault="00B017D7" w:rsidP="00862139">
      <w:pPr>
        <w:spacing w:line="480" w:lineRule="auto"/>
        <w:jc w:val="both"/>
        <w:rPr>
          <w:rFonts w:ascii="Arial" w:hAnsi="Arial" w:cs="Arial"/>
          <w:sz w:val="24"/>
          <w:szCs w:val="24"/>
        </w:rPr>
      </w:pPr>
    </w:p>
    <w:p w14:paraId="7FD6179F" w14:textId="53552C7E" w:rsidR="00B017D7" w:rsidRDefault="00B017D7" w:rsidP="00862139">
      <w:pPr>
        <w:spacing w:line="480" w:lineRule="auto"/>
        <w:jc w:val="both"/>
        <w:rPr>
          <w:rFonts w:ascii="Arial" w:hAnsi="Arial" w:cs="Arial"/>
          <w:sz w:val="24"/>
          <w:szCs w:val="24"/>
        </w:rPr>
      </w:pPr>
    </w:p>
    <w:p w14:paraId="0598AFD3" w14:textId="4D9DE128" w:rsidR="00B017D7" w:rsidRDefault="00B017D7" w:rsidP="00862139">
      <w:pPr>
        <w:spacing w:line="480" w:lineRule="auto"/>
        <w:jc w:val="both"/>
        <w:rPr>
          <w:rFonts w:ascii="Arial" w:hAnsi="Arial" w:cs="Arial"/>
          <w:sz w:val="24"/>
          <w:szCs w:val="24"/>
        </w:rPr>
      </w:pPr>
    </w:p>
    <w:p w14:paraId="3CD39B84" w14:textId="1D01E495" w:rsidR="00B017D7" w:rsidRDefault="00B017D7" w:rsidP="00862139">
      <w:pPr>
        <w:spacing w:line="480" w:lineRule="auto"/>
        <w:jc w:val="both"/>
        <w:rPr>
          <w:rFonts w:ascii="Arial" w:hAnsi="Arial" w:cs="Arial"/>
          <w:sz w:val="24"/>
          <w:szCs w:val="24"/>
        </w:rPr>
      </w:pPr>
    </w:p>
    <w:p w14:paraId="4D0F76AA" w14:textId="65483019" w:rsidR="00B017D7" w:rsidRDefault="00B017D7" w:rsidP="00862139">
      <w:pPr>
        <w:spacing w:line="480" w:lineRule="auto"/>
        <w:jc w:val="both"/>
        <w:rPr>
          <w:rFonts w:ascii="Arial" w:hAnsi="Arial" w:cs="Arial"/>
          <w:sz w:val="24"/>
          <w:szCs w:val="24"/>
        </w:rPr>
      </w:pPr>
    </w:p>
    <w:p w14:paraId="1D6A0ED8" w14:textId="77777777" w:rsidR="00B017D7" w:rsidRPr="00424846" w:rsidRDefault="00B017D7" w:rsidP="00862139">
      <w:pPr>
        <w:spacing w:line="480" w:lineRule="auto"/>
        <w:jc w:val="both"/>
        <w:rPr>
          <w:rFonts w:ascii="Arial" w:hAnsi="Arial" w:cs="Arial"/>
          <w:sz w:val="24"/>
          <w:szCs w:val="24"/>
        </w:rPr>
      </w:pPr>
    </w:p>
    <w:p w14:paraId="5633D6E0" w14:textId="4BE11439" w:rsidR="00F64296" w:rsidRPr="00B017D7" w:rsidRDefault="004A0EA3" w:rsidP="00B017D7">
      <w:pPr>
        <w:spacing w:line="480" w:lineRule="auto"/>
        <w:jc w:val="center"/>
        <w:rPr>
          <w:rFonts w:ascii="Arial" w:hAnsi="Arial" w:cs="Arial"/>
          <w:b/>
          <w:bCs/>
          <w:sz w:val="24"/>
          <w:szCs w:val="24"/>
          <w:u w:val="single"/>
        </w:rPr>
      </w:pPr>
      <w:r w:rsidRPr="00B017D7">
        <w:rPr>
          <w:rFonts w:ascii="Arial" w:hAnsi="Arial" w:cs="Arial"/>
          <w:b/>
          <w:bCs/>
          <w:sz w:val="24"/>
          <w:szCs w:val="24"/>
          <w:u w:val="single"/>
        </w:rPr>
        <w:lastRenderedPageBreak/>
        <w:t xml:space="preserve">Model of </w:t>
      </w:r>
      <w:r w:rsidR="005975BB">
        <w:rPr>
          <w:rFonts w:ascii="Arial" w:hAnsi="Arial" w:cs="Arial"/>
          <w:b/>
          <w:bCs/>
          <w:sz w:val="24"/>
          <w:szCs w:val="24"/>
          <w:u w:val="single"/>
        </w:rPr>
        <w:t>T</w:t>
      </w:r>
      <w:r w:rsidRPr="00B017D7">
        <w:rPr>
          <w:rFonts w:ascii="Arial" w:hAnsi="Arial" w:cs="Arial"/>
          <w:b/>
          <w:bCs/>
          <w:sz w:val="24"/>
          <w:szCs w:val="24"/>
          <w:u w:val="single"/>
        </w:rPr>
        <w:t xml:space="preserve">orture: </w:t>
      </w:r>
      <w:r w:rsidR="006715F1" w:rsidRPr="00B017D7">
        <w:rPr>
          <w:rFonts w:ascii="Arial" w:hAnsi="Arial" w:cs="Arial"/>
          <w:b/>
          <w:bCs/>
          <w:sz w:val="24"/>
          <w:szCs w:val="24"/>
          <w:u w:val="single"/>
        </w:rPr>
        <w:t xml:space="preserve">Israeli </w:t>
      </w:r>
      <w:r w:rsidRPr="00B017D7">
        <w:rPr>
          <w:rFonts w:ascii="Arial" w:hAnsi="Arial" w:cs="Arial"/>
          <w:b/>
          <w:bCs/>
          <w:sz w:val="24"/>
          <w:szCs w:val="24"/>
          <w:u w:val="single"/>
        </w:rPr>
        <w:t xml:space="preserve">Landau </w:t>
      </w:r>
      <w:r w:rsidR="005975BB">
        <w:rPr>
          <w:rFonts w:ascii="Arial" w:hAnsi="Arial" w:cs="Arial"/>
          <w:b/>
          <w:bCs/>
          <w:sz w:val="24"/>
          <w:szCs w:val="24"/>
          <w:u w:val="single"/>
        </w:rPr>
        <w:t>M</w:t>
      </w:r>
      <w:r w:rsidRPr="00B017D7">
        <w:rPr>
          <w:rFonts w:ascii="Arial" w:hAnsi="Arial" w:cs="Arial"/>
          <w:b/>
          <w:bCs/>
          <w:sz w:val="24"/>
          <w:szCs w:val="24"/>
          <w:u w:val="single"/>
        </w:rPr>
        <w:t>odel</w:t>
      </w:r>
      <w:r w:rsidR="00B017D7">
        <w:rPr>
          <w:rFonts w:ascii="Arial" w:hAnsi="Arial" w:cs="Arial"/>
          <w:b/>
          <w:bCs/>
          <w:sz w:val="24"/>
          <w:szCs w:val="24"/>
          <w:u w:val="single"/>
        </w:rPr>
        <w:t>:</w:t>
      </w:r>
    </w:p>
    <w:p w14:paraId="160D6563" w14:textId="2551C50D" w:rsidR="00184E29" w:rsidRPr="00424846" w:rsidRDefault="0004591B" w:rsidP="00862139">
      <w:pPr>
        <w:spacing w:line="480" w:lineRule="auto"/>
        <w:jc w:val="both"/>
        <w:rPr>
          <w:rFonts w:ascii="Arial" w:hAnsi="Arial" w:cs="Arial"/>
          <w:sz w:val="24"/>
          <w:szCs w:val="24"/>
        </w:rPr>
      </w:pPr>
      <w:r w:rsidRPr="00424846">
        <w:rPr>
          <w:rFonts w:ascii="Arial" w:hAnsi="Arial" w:cs="Arial"/>
          <w:sz w:val="24"/>
          <w:szCs w:val="24"/>
        </w:rPr>
        <w:t xml:space="preserve">As this dissertation discusses why </w:t>
      </w:r>
      <w:r w:rsidR="00184E29" w:rsidRPr="00424846">
        <w:rPr>
          <w:rFonts w:ascii="Arial" w:hAnsi="Arial" w:cs="Arial"/>
          <w:sz w:val="24"/>
          <w:szCs w:val="24"/>
        </w:rPr>
        <w:t>JT</w:t>
      </w:r>
      <w:r w:rsidRPr="00424846">
        <w:rPr>
          <w:rFonts w:ascii="Arial" w:hAnsi="Arial" w:cs="Arial"/>
          <w:sz w:val="24"/>
          <w:szCs w:val="24"/>
        </w:rPr>
        <w:t xml:space="preserve"> should not be reinstated, it is important to investigate and assess the </w:t>
      </w:r>
      <w:r w:rsidR="00184E29" w:rsidRPr="00424846">
        <w:rPr>
          <w:rFonts w:ascii="Arial" w:hAnsi="Arial" w:cs="Arial"/>
          <w:sz w:val="24"/>
          <w:szCs w:val="24"/>
        </w:rPr>
        <w:t>advantages</w:t>
      </w:r>
      <w:r w:rsidRPr="00424846">
        <w:rPr>
          <w:rFonts w:ascii="Arial" w:hAnsi="Arial" w:cs="Arial"/>
          <w:sz w:val="24"/>
          <w:szCs w:val="24"/>
        </w:rPr>
        <w:t xml:space="preserve"> and disadvantages of </w:t>
      </w:r>
      <w:r w:rsidR="00DF1F8C" w:rsidRPr="00424846">
        <w:rPr>
          <w:rFonts w:ascii="Arial" w:hAnsi="Arial" w:cs="Arial"/>
          <w:sz w:val="24"/>
          <w:szCs w:val="24"/>
        </w:rPr>
        <w:t>m</w:t>
      </w:r>
      <w:r w:rsidRPr="00424846">
        <w:rPr>
          <w:rFonts w:ascii="Arial" w:hAnsi="Arial" w:cs="Arial"/>
          <w:sz w:val="24"/>
          <w:szCs w:val="24"/>
        </w:rPr>
        <w:t>odels of torture to identify whether the UK should create its own torture warrant and implement it</w:t>
      </w:r>
      <w:r w:rsidR="00184E29" w:rsidRPr="00424846">
        <w:rPr>
          <w:rFonts w:ascii="Arial" w:hAnsi="Arial" w:cs="Arial"/>
          <w:sz w:val="24"/>
          <w:szCs w:val="24"/>
        </w:rPr>
        <w:t>, or if we are better suited without one</w:t>
      </w:r>
      <w:r w:rsidRPr="00424846">
        <w:rPr>
          <w:rFonts w:ascii="Arial" w:hAnsi="Arial" w:cs="Arial"/>
          <w:sz w:val="24"/>
          <w:szCs w:val="24"/>
        </w:rPr>
        <w:t xml:space="preserve">. </w:t>
      </w:r>
    </w:p>
    <w:p w14:paraId="5C6778D3" w14:textId="2E19FFA7" w:rsidR="00184E29" w:rsidRPr="00424846" w:rsidRDefault="00184E29" w:rsidP="00862139">
      <w:pPr>
        <w:spacing w:line="480" w:lineRule="auto"/>
        <w:jc w:val="both"/>
        <w:rPr>
          <w:rFonts w:ascii="Arial" w:hAnsi="Arial" w:cs="Arial"/>
          <w:sz w:val="24"/>
          <w:szCs w:val="24"/>
        </w:rPr>
      </w:pPr>
      <w:r w:rsidRPr="00424846">
        <w:rPr>
          <w:rFonts w:ascii="Arial" w:hAnsi="Arial" w:cs="Arial"/>
          <w:sz w:val="24"/>
          <w:szCs w:val="24"/>
        </w:rPr>
        <w:t>Using the same description of a</w:t>
      </w:r>
      <w:r w:rsidR="0004591B" w:rsidRPr="00424846">
        <w:rPr>
          <w:rFonts w:ascii="Arial" w:hAnsi="Arial" w:cs="Arial"/>
          <w:sz w:val="24"/>
          <w:szCs w:val="24"/>
        </w:rPr>
        <w:t xml:space="preserve"> </w:t>
      </w:r>
      <w:r w:rsidRPr="00424846">
        <w:rPr>
          <w:rFonts w:ascii="Arial" w:hAnsi="Arial" w:cs="Arial"/>
          <w:sz w:val="24"/>
          <w:szCs w:val="24"/>
        </w:rPr>
        <w:t xml:space="preserve">torture warrant as the one used in </w:t>
      </w:r>
      <w:r w:rsidR="0004591B" w:rsidRPr="00424846">
        <w:rPr>
          <w:rFonts w:ascii="Arial" w:hAnsi="Arial" w:cs="Arial"/>
          <w:sz w:val="24"/>
          <w:szCs w:val="24"/>
        </w:rPr>
        <w:t>Part 1</w:t>
      </w:r>
      <w:r w:rsidRPr="00424846">
        <w:rPr>
          <w:rFonts w:ascii="Arial" w:hAnsi="Arial" w:cs="Arial"/>
          <w:sz w:val="24"/>
          <w:szCs w:val="24"/>
        </w:rPr>
        <w:t xml:space="preserve">, </w:t>
      </w:r>
      <w:r w:rsidR="0004591B" w:rsidRPr="00424846">
        <w:rPr>
          <w:rFonts w:ascii="Arial" w:hAnsi="Arial" w:cs="Arial"/>
          <w:i/>
          <w:iCs/>
          <w:sz w:val="24"/>
          <w:szCs w:val="24"/>
        </w:rPr>
        <w:t>Historical perspective</w:t>
      </w:r>
      <w:r w:rsidRPr="00424846">
        <w:rPr>
          <w:rFonts w:ascii="Arial" w:hAnsi="Arial" w:cs="Arial"/>
          <w:i/>
          <w:iCs/>
          <w:sz w:val="24"/>
          <w:szCs w:val="24"/>
        </w:rPr>
        <w:t>s</w:t>
      </w:r>
      <w:r w:rsidRPr="00424846">
        <w:rPr>
          <w:rFonts w:ascii="Arial" w:hAnsi="Arial" w:cs="Arial"/>
          <w:sz w:val="24"/>
          <w:szCs w:val="24"/>
        </w:rPr>
        <w:t xml:space="preserve">, above, </w:t>
      </w:r>
      <w:r w:rsidR="007E3B2B" w:rsidRPr="00424846">
        <w:rPr>
          <w:rFonts w:ascii="Arial" w:hAnsi="Arial" w:cs="Arial"/>
          <w:sz w:val="24"/>
          <w:szCs w:val="24"/>
        </w:rPr>
        <w:t xml:space="preserve">Parry </w:t>
      </w:r>
      <w:r w:rsidRPr="00424846">
        <w:rPr>
          <w:rFonts w:ascii="Arial" w:hAnsi="Arial" w:cs="Arial"/>
          <w:sz w:val="24"/>
          <w:szCs w:val="24"/>
        </w:rPr>
        <w:t>argues in favour of having a torture warrant</w:t>
      </w:r>
      <w:r w:rsidR="007E3B2B" w:rsidRPr="00424846">
        <w:rPr>
          <w:rFonts w:ascii="Arial" w:hAnsi="Arial" w:cs="Arial"/>
          <w:sz w:val="24"/>
          <w:szCs w:val="24"/>
        </w:rPr>
        <w:t>, as it can</w:t>
      </w:r>
      <w:r w:rsidR="00D9130A" w:rsidRPr="00424846">
        <w:rPr>
          <w:rFonts w:ascii="Arial" w:hAnsi="Arial" w:cs="Arial"/>
          <w:sz w:val="24"/>
          <w:szCs w:val="24"/>
        </w:rPr>
        <w:t xml:space="preserve">, firstly, </w:t>
      </w:r>
      <w:r w:rsidR="007E3B2B" w:rsidRPr="00424846">
        <w:rPr>
          <w:rFonts w:ascii="Arial" w:hAnsi="Arial" w:cs="Arial"/>
          <w:sz w:val="24"/>
          <w:szCs w:val="24"/>
        </w:rPr>
        <w:t>bring the torture inevitably used by the state</w:t>
      </w:r>
      <w:r w:rsidRPr="00424846">
        <w:rPr>
          <w:rFonts w:ascii="Arial" w:hAnsi="Arial" w:cs="Arial"/>
          <w:sz w:val="24"/>
          <w:szCs w:val="24"/>
        </w:rPr>
        <w:t xml:space="preserve"> in </w:t>
      </w:r>
      <w:r w:rsidR="00D9130A" w:rsidRPr="00424846">
        <w:rPr>
          <w:rFonts w:ascii="Arial" w:hAnsi="Arial" w:cs="Arial"/>
          <w:sz w:val="24"/>
          <w:szCs w:val="24"/>
        </w:rPr>
        <w:t>secrecy</w:t>
      </w:r>
      <w:r w:rsidR="007E3B2B" w:rsidRPr="00424846">
        <w:rPr>
          <w:rFonts w:ascii="Arial" w:hAnsi="Arial" w:cs="Arial"/>
          <w:sz w:val="24"/>
          <w:szCs w:val="24"/>
        </w:rPr>
        <w:t xml:space="preserve"> to task if it goes beyond </w:t>
      </w:r>
      <w:r w:rsidR="00555138" w:rsidRPr="00424846">
        <w:rPr>
          <w:rFonts w:ascii="Arial" w:hAnsi="Arial" w:cs="Arial"/>
          <w:sz w:val="24"/>
          <w:szCs w:val="24"/>
        </w:rPr>
        <w:t>the</w:t>
      </w:r>
      <w:r w:rsidR="007E3B2B" w:rsidRPr="00424846">
        <w:rPr>
          <w:rFonts w:ascii="Arial" w:hAnsi="Arial" w:cs="Arial"/>
          <w:sz w:val="24"/>
          <w:szCs w:val="24"/>
        </w:rPr>
        <w:t xml:space="preserve"> limit</w:t>
      </w:r>
      <w:r w:rsidR="00555138" w:rsidRPr="00424846">
        <w:rPr>
          <w:rFonts w:ascii="Arial" w:hAnsi="Arial" w:cs="Arial"/>
          <w:sz w:val="24"/>
          <w:szCs w:val="24"/>
        </w:rPr>
        <w:t xml:space="preserve"> of necessity</w:t>
      </w:r>
      <w:r w:rsidR="00D9130A" w:rsidRPr="00424846">
        <w:rPr>
          <w:rFonts w:ascii="Arial" w:hAnsi="Arial" w:cs="Arial"/>
          <w:sz w:val="24"/>
          <w:szCs w:val="24"/>
        </w:rPr>
        <w:t xml:space="preserve">, </w:t>
      </w:r>
      <w:r w:rsidR="00DF1F8C" w:rsidRPr="00424846">
        <w:rPr>
          <w:rFonts w:ascii="Arial" w:hAnsi="Arial" w:cs="Arial"/>
          <w:sz w:val="24"/>
          <w:szCs w:val="24"/>
        </w:rPr>
        <w:t xml:space="preserve">and </w:t>
      </w:r>
      <w:r w:rsidR="00D9130A" w:rsidRPr="00424846">
        <w:rPr>
          <w:rFonts w:ascii="Arial" w:hAnsi="Arial" w:cs="Arial"/>
          <w:sz w:val="24"/>
          <w:szCs w:val="24"/>
        </w:rPr>
        <w:t>secondly,</w:t>
      </w:r>
      <w:r w:rsidR="007E3B2B" w:rsidRPr="00424846">
        <w:rPr>
          <w:rFonts w:ascii="Arial" w:hAnsi="Arial" w:cs="Arial"/>
          <w:sz w:val="24"/>
          <w:szCs w:val="24"/>
        </w:rPr>
        <w:t xml:space="preserve"> interrogators </w:t>
      </w:r>
      <w:r w:rsidR="00D9130A" w:rsidRPr="00424846">
        <w:rPr>
          <w:rFonts w:ascii="Arial" w:hAnsi="Arial" w:cs="Arial"/>
          <w:sz w:val="24"/>
          <w:szCs w:val="24"/>
        </w:rPr>
        <w:t>w</w:t>
      </w:r>
      <w:r w:rsidRPr="00424846">
        <w:rPr>
          <w:rFonts w:ascii="Arial" w:hAnsi="Arial" w:cs="Arial"/>
          <w:sz w:val="24"/>
          <w:szCs w:val="24"/>
        </w:rPr>
        <w:t>ould be able to</w:t>
      </w:r>
      <w:r w:rsidR="007E3B2B" w:rsidRPr="00424846">
        <w:rPr>
          <w:rFonts w:ascii="Arial" w:hAnsi="Arial" w:cs="Arial"/>
          <w:sz w:val="24"/>
          <w:szCs w:val="24"/>
        </w:rPr>
        <w:t xml:space="preserve"> </w:t>
      </w:r>
      <w:r w:rsidRPr="00424846">
        <w:rPr>
          <w:rFonts w:ascii="Arial" w:hAnsi="Arial" w:cs="Arial"/>
          <w:sz w:val="24"/>
          <w:szCs w:val="24"/>
        </w:rPr>
        <w:t>receive the proper</w:t>
      </w:r>
      <w:r w:rsidR="007E3B2B" w:rsidRPr="00424846">
        <w:rPr>
          <w:rFonts w:ascii="Arial" w:hAnsi="Arial" w:cs="Arial"/>
          <w:sz w:val="24"/>
          <w:szCs w:val="24"/>
        </w:rPr>
        <w:t xml:space="preserve"> training they need to extract confessions and details of impending attacks </w:t>
      </w:r>
      <w:r w:rsidR="00D9130A" w:rsidRPr="00424846">
        <w:rPr>
          <w:rFonts w:ascii="Arial" w:hAnsi="Arial" w:cs="Arial"/>
          <w:sz w:val="24"/>
          <w:szCs w:val="24"/>
        </w:rPr>
        <w:t xml:space="preserve">in an effective </w:t>
      </w:r>
      <w:r w:rsidR="00DF1F8C" w:rsidRPr="00424846">
        <w:rPr>
          <w:rFonts w:ascii="Arial" w:hAnsi="Arial" w:cs="Arial"/>
          <w:sz w:val="24"/>
          <w:szCs w:val="24"/>
        </w:rPr>
        <w:t xml:space="preserve">and efficient </w:t>
      </w:r>
      <w:r w:rsidR="00D9130A" w:rsidRPr="00424846">
        <w:rPr>
          <w:rFonts w:ascii="Arial" w:hAnsi="Arial" w:cs="Arial"/>
          <w:sz w:val="24"/>
          <w:szCs w:val="24"/>
        </w:rPr>
        <w:t xml:space="preserve">way </w:t>
      </w:r>
      <w:r w:rsidR="007E3B2B" w:rsidRPr="00424846">
        <w:rPr>
          <w:rFonts w:ascii="Arial" w:hAnsi="Arial" w:cs="Arial"/>
          <w:sz w:val="24"/>
          <w:szCs w:val="24"/>
        </w:rPr>
        <w:t>that can save lives</w:t>
      </w:r>
      <w:r w:rsidR="00F30BE2" w:rsidRPr="00424846">
        <w:rPr>
          <w:rStyle w:val="FootnoteReference"/>
          <w:rFonts w:ascii="Arial" w:hAnsi="Arial" w:cs="Arial"/>
          <w:sz w:val="24"/>
          <w:szCs w:val="24"/>
        </w:rPr>
        <w:footnoteReference w:id="159"/>
      </w:r>
      <w:r w:rsidR="00D9130A" w:rsidRPr="00424846">
        <w:rPr>
          <w:rFonts w:ascii="Arial" w:hAnsi="Arial" w:cs="Arial"/>
          <w:sz w:val="24"/>
          <w:szCs w:val="24"/>
        </w:rPr>
        <w:t xml:space="preserve">.  </w:t>
      </w:r>
    </w:p>
    <w:p w14:paraId="6504F68B" w14:textId="04273469" w:rsidR="00092BA8" w:rsidRPr="00424846" w:rsidRDefault="005A5A57" w:rsidP="00862139">
      <w:pPr>
        <w:spacing w:line="480" w:lineRule="auto"/>
        <w:jc w:val="both"/>
        <w:rPr>
          <w:rFonts w:ascii="Arial" w:hAnsi="Arial" w:cs="Arial"/>
          <w:sz w:val="24"/>
          <w:szCs w:val="24"/>
        </w:rPr>
      </w:pPr>
      <w:r w:rsidRPr="00424846">
        <w:rPr>
          <w:rFonts w:ascii="Arial" w:hAnsi="Arial" w:cs="Arial"/>
          <w:sz w:val="24"/>
          <w:szCs w:val="24"/>
        </w:rPr>
        <w:t>Vermule support</w:t>
      </w:r>
      <w:r w:rsidR="00092BA8" w:rsidRPr="00424846">
        <w:rPr>
          <w:rFonts w:ascii="Arial" w:hAnsi="Arial" w:cs="Arial"/>
          <w:sz w:val="24"/>
          <w:szCs w:val="24"/>
        </w:rPr>
        <w:t>s</w:t>
      </w:r>
      <w:r w:rsidRPr="00424846">
        <w:rPr>
          <w:rFonts w:ascii="Arial" w:hAnsi="Arial" w:cs="Arial"/>
          <w:sz w:val="24"/>
          <w:szCs w:val="24"/>
        </w:rPr>
        <w:t xml:space="preserve"> a torture warrant</w:t>
      </w:r>
      <w:r w:rsidR="00092BA8" w:rsidRPr="00424846">
        <w:rPr>
          <w:rFonts w:ascii="Arial" w:hAnsi="Arial" w:cs="Arial"/>
          <w:sz w:val="24"/>
          <w:szCs w:val="24"/>
        </w:rPr>
        <w:t xml:space="preserve"> in extenuating circumstances, where </w:t>
      </w:r>
      <w:r w:rsidRPr="00424846">
        <w:rPr>
          <w:rFonts w:ascii="Arial" w:hAnsi="Arial" w:cs="Arial"/>
          <w:sz w:val="24"/>
          <w:szCs w:val="24"/>
        </w:rPr>
        <w:t xml:space="preserve">interrogators </w:t>
      </w:r>
      <w:r w:rsidR="001A7F5C" w:rsidRPr="00424846">
        <w:rPr>
          <w:rFonts w:ascii="Arial" w:hAnsi="Arial" w:cs="Arial"/>
          <w:sz w:val="24"/>
          <w:szCs w:val="24"/>
        </w:rPr>
        <w:t>can</w:t>
      </w:r>
      <w:r w:rsidRPr="00424846">
        <w:rPr>
          <w:rFonts w:ascii="Arial" w:hAnsi="Arial" w:cs="Arial"/>
          <w:sz w:val="24"/>
          <w:szCs w:val="24"/>
        </w:rPr>
        <w:t xml:space="preserve"> use </w:t>
      </w:r>
      <w:r w:rsidR="007709F6" w:rsidRPr="00424846">
        <w:rPr>
          <w:rFonts w:ascii="Arial" w:hAnsi="Arial" w:cs="Arial"/>
          <w:sz w:val="24"/>
          <w:szCs w:val="24"/>
        </w:rPr>
        <w:t xml:space="preserve">approved methods </w:t>
      </w:r>
      <w:r w:rsidR="001A7F5C" w:rsidRPr="00424846">
        <w:rPr>
          <w:rFonts w:ascii="Arial" w:hAnsi="Arial" w:cs="Arial"/>
          <w:sz w:val="24"/>
          <w:szCs w:val="24"/>
        </w:rPr>
        <w:t xml:space="preserve">of torture </w:t>
      </w:r>
      <w:r w:rsidR="007709F6" w:rsidRPr="00424846">
        <w:rPr>
          <w:rFonts w:ascii="Arial" w:hAnsi="Arial" w:cs="Arial"/>
          <w:sz w:val="24"/>
          <w:szCs w:val="24"/>
        </w:rPr>
        <w:t xml:space="preserve">to </w:t>
      </w:r>
      <w:r w:rsidR="00092BA8" w:rsidRPr="00424846">
        <w:rPr>
          <w:rFonts w:ascii="Arial" w:hAnsi="Arial" w:cs="Arial"/>
          <w:sz w:val="24"/>
          <w:szCs w:val="24"/>
        </w:rPr>
        <w:t>save lives, all whilst,</w:t>
      </w:r>
      <w:r w:rsidR="007709F6" w:rsidRPr="00424846">
        <w:rPr>
          <w:rFonts w:ascii="Arial" w:hAnsi="Arial" w:cs="Arial"/>
          <w:sz w:val="24"/>
          <w:szCs w:val="24"/>
        </w:rPr>
        <w:t xml:space="preserve"> rel</w:t>
      </w:r>
      <w:r w:rsidR="00092BA8" w:rsidRPr="00424846">
        <w:rPr>
          <w:rFonts w:ascii="Arial" w:hAnsi="Arial" w:cs="Arial"/>
          <w:sz w:val="24"/>
          <w:szCs w:val="24"/>
        </w:rPr>
        <w:t>ying</w:t>
      </w:r>
      <w:r w:rsidR="007709F6" w:rsidRPr="00424846">
        <w:rPr>
          <w:rFonts w:ascii="Arial" w:hAnsi="Arial" w:cs="Arial"/>
          <w:sz w:val="24"/>
          <w:szCs w:val="24"/>
        </w:rPr>
        <w:t xml:space="preserve"> on the defence of necessity</w:t>
      </w:r>
      <w:r w:rsidR="001A7F5C" w:rsidRPr="00424846">
        <w:rPr>
          <w:rStyle w:val="FootnoteReference"/>
          <w:rFonts w:ascii="Arial" w:hAnsi="Arial" w:cs="Arial"/>
          <w:sz w:val="24"/>
          <w:szCs w:val="24"/>
        </w:rPr>
        <w:footnoteReference w:id="160"/>
      </w:r>
      <w:r w:rsidR="007709F6" w:rsidRPr="00424846">
        <w:rPr>
          <w:rFonts w:ascii="Arial" w:hAnsi="Arial" w:cs="Arial"/>
          <w:sz w:val="24"/>
          <w:szCs w:val="24"/>
        </w:rPr>
        <w:t xml:space="preserve"> to pro</w:t>
      </w:r>
      <w:r w:rsidR="00F5697D" w:rsidRPr="00424846">
        <w:rPr>
          <w:rFonts w:ascii="Arial" w:hAnsi="Arial" w:cs="Arial"/>
          <w:sz w:val="24"/>
          <w:szCs w:val="24"/>
        </w:rPr>
        <w:t xml:space="preserve">vide them with the legal immunity they need. </w:t>
      </w:r>
      <w:r w:rsidR="007709F6" w:rsidRPr="00424846">
        <w:rPr>
          <w:rFonts w:ascii="Arial" w:hAnsi="Arial" w:cs="Arial"/>
          <w:sz w:val="24"/>
          <w:szCs w:val="24"/>
        </w:rPr>
        <w:t>Thi</w:t>
      </w:r>
      <w:r w:rsidR="00C36401" w:rsidRPr="00424846">
        <w:rPr>
          <w:rFonts w:ascii="Arial" w:hAnsi="Arial" w:cs="Arial"/>
          <w:sz w:val="24"/>
          <w:szCs w:val="24"/>
        </w:rPr>
        <w:t>s</w:t>
      </w:r>
      <w:r w:rsidR="007709F6" w:rsidRPr="00424846">
        <w:rPr>
          <w:rFonts w:ascii="Arial" w:hAnsi="Arial" w:cs="Arial"/>
          <w:sz w:val="24"/>
          <w:szCs w:val="24"/>
        </w:rPr>
        <w:t xml:space="preserve"> create</w:t>
      </w:r>
      <w:r w:rsidR="00C36401" w:rsidRPr="00424846">
        <w:rPr>
          <w:rFonts w:ascii="Arial" w:hAnsi="Arial" w:cs="Arial"/>
          <w:sz w:val="24"/>
          <w:szCs w:val="24"/>
        </w:rPr>
        <w:t>s</w:t>
      </w:r>
      <w:r w:rsidR="007709F6" w:rsidRPr="00424846">
        <w:rPr>
          <w:rFonts w:ascii="Arial" w:hAnsi="Arial" w:cs="Arial"/>
          <w:sz w:val="24"/>
          <w:szCs w:val="24"/>
        </w:rPr>
        <w:t xml:space="preserve"> circumstances that exempt the interrogator from criminalisation if they, deduce from experience and expertise, that torture is the </w:t>
      </w:r>
      <w:r w:rsidR="00E84D37" w:rsidRPr="00424846">
        <w:rPr>
          <w:rFonts w:ascii="Arial" w:hAnsi="Arial" w:cs="Arial"/>
          <w:sz w:val="24"/>
          <w:szCs w:val="24"/>
        </w:rPr>
        <w:t>only course of action to take, pursue</w:t>
      </w:r>
      <w:r w:rsidR="001A7F5C" w:rsidRPr="00424846">
        <w:rPr>
          <w:rFonts w:ascii="Arial" w:hAnsi="Arial" w:cs="Arial"/>
          <w:sz w:val="24"/>
          <w:szCs w:val="24"/>
        </w:rPr>
        <w:t>s</w:t>
      </w:r>
      <w:r w:rsidR="00E84D37" w:rsidRPr="00424846">
        <w:rPr>
          <w:rFonts w:ascii="Arial" w:hAnsi="Arial" w:cs="Arial"/>
          <w:sz w:val="24"/>
          <w:szCs w:val="24"/>
        </w:rPr>
        <w:t xml:space="preserve"> this course, and save</w:t>
      </w:r>
      <w:r w:rsidR="001A7F5C" w:rsidRPr="00424846">
        <w:rPr>
          <w:rFonts w:ascii="Arial" w:hAnsi="Arial" w:cs="Arial"/>
          <w:sz w:val="24"/>
          <w:szCs w:val="24"/>
        </w:rPr>
        <w:t xml:space="preserve">s </w:t>
      </w:r>
      <w:r w:rsidR="00E84D37" w:rsidRPr="00424846">
        <w:rPr>
          <w:rFonts w:ascii="Arial" w:hAnsi="Arial" w:cs="Arial"/>
          <w:sz w:val="24"/>
          <w:szCs w:val="24"/>
        </w:rPr>
        <w:t>the lives of hundreds of people</w:t>
      </w:r>
      <w:r w:rsidR="007157EC" w:rsidRPr="00424846">
        <w:rPr>
          <w:rStyle w:val="FootnoteReference"/>
          <w:rFonts w:ascii="Arial" w:hAnsi="Arial" w:cs="Arial"/>
          <w:sz w:val="24"/>
          <w:szCs w:val="24"/>
        </w:rPr>
        <w:footnoteReference w:id="161"/>
      </w:r>
      <w:r w:rsidR="007157EC" w:rsidRPr="00424846">
        <w:rPr>
          <w:rFonts w:ascii="Arial" w:hAnsi="Arial" w:cs="Arial"/>
          <w:sz w:val="24"/>
          <w:szCs w:val="24"/>
        </w:rPr>
        <w:t xml:space="preserve">. </w:t>
      </w:r>
      <w:r w:rsidR="00E84D37" w:rsidRPr="00424846">
        <w:rPr>
          <w:rFonts w:ascii="Arial" w:hAnsi="Arial" w:cs="Arial"/>
          <w:sz w:val="24"/>
          <w:szCs w:val="24"/>
        </w:rPr>
        <w:t>Parry</w:t>
      </w:r>
      <w:r w:rsidR="001A7F5C" w:rsidRPr="00424846">
        <w:rPr>
          <w:rFonts w:ascii="Arial" w:hAnsi="Arial" w:cs="Arial"/>
          <w:sz w:val="24"/>
          <w:szCs w:val="24"/>
        </w:rPr>
        <w:t xml:space="preserve"> </w:t>
      </w:r>
      <w:r w:rsidR="00E84D37" w:rsidRPr="00424846">
        <w:rPr>
          <w:rFonts w:ascii="Arial" w:hAnsi="Arial" w:cs="Arial"/>
          <w:sz w:val="24"/>
          <w:szCs w:val="24"/>
        </w:rPr>
        <w:t>would consider the</w:t>
      </w:r>
      <w:r w:rsidR="007157EC" w:rsidRPr="00424846">
        <w:rPr>
          <w:rFonts w:ascii="Arial" w:hAnsi="Arial" w:cs="Arial"/>
          <w:sz w:val="24"/>
          <w:szCs w:val="24"/>
        </w:rPr>
        <w:t>m</w:t>
      </w:r>
      <w:r w:rsidR="00E84D37" w:rsidRPr="00424846">
        <w:rPr>
          <w:rFonts w:ascii="Arial" w:hAnsi="Arial" w:cs="Arial"/>
          <w:sz w:val="24"/>
          <w:szCs w:val="24"/>
        </w:rPr>
        <w:t xml:space="preserve"> with the same regard </w:t>
      </w:r>
      <w:r w:rsidR="007157EC" w:rsidRPr="00424846">
        <w:rPr>
          <w:rFonts w:ascii="Arial" w:hAnsi="Arial" w:cs="Arial"/>
          <w:sz w:val="24"/>
          <w:szCs w:val="24"/>
        </w:rPr>
        <w:t>as a</w:t>
      </w:r>
      <w:r w:rsidR="00E84D37" w:rsidRPr="00424846">
        <w:rPr>
          <w:rFonts w:ascii="Arial" w:hAnsi="Arial" w:cs="Arial"/>
          <w:sz w:val="24"/>
          <w:szCs w:val="24"/>
        </w:rPr>
        <w:t xml:space="preserve"> ‘war hero’</w:t>
      </w:r>
      <w:r w:rsidR="005F07B9" w:rsidRPr="00424846">
        <w:rPr>
          <w:rStyle w:val="FootnoteReference"/>
          <w:rFonts w:ascii="Arial" w:hAnsi="Arial" w:cs="Arial"/>
          <w:sz w:val="24"/>
          <w:szCs w:val="24"/>
        </w:rPr>
        <w:footnoteReference w:id="162"/>
      </w:r>
      <w:r w:rsidR="00E84D37" w:rsidRPr="00424846">
        <w:rPr>
          <w:rFonts w:ascii="Arial" w:hAnsi="Arial" w:cs="Arial"/>
          <w:sz w:val="24"/>
          <w:szCs w:val="24"/>
        </w:rPr>
        <w:t xml:space="preserve">. </w:t>
      </w:r>
    </w:p>
    <w:p w14:paraId="19D1D68C" w14:textId="32871931" w:rsidR="00312375" w:rsidRPr="00424846" w:rsidRDefault="00092BA8" w:rsidP="00862139">
      <w:pPr>
        <w:spacing w:line="480" w:lineRule="auto"/>
        <w:jc w:val="both"/>
        <w:rPr>
          <w:rFonts w:ascii="Arial" w:hAnsi="Arial" w:cs="Arial"/>
          <w:sz w:val="24"/>
          <w:szCs w:val="24"/>
        </w:rPr>
      </w:pPr>
      <w:r w:rsidRPr="00424846">
        <w:rPr>
          <w:rFonts w:ascii="Arial" w:hAnsi="Arial" w:cs="Arial"/>
          <w:sz w:val="24"/>
          <w:szCs w:val="24"/>
        </w:rPr>
        <w:t>Whereas, anti-torture supporters,</w:t>
      </w:r>
      <w:r w:rsidR="005F07B9" w:rsidRPr="00424846">
        <w:rPr>
          <w:rFonts w:ascii="Arial" w:hAnsi="Arial" w:cs="Arial"/>
          <w:sz w:val="24"/>
          <w:szCs w:val="24"/>
        </w:rPr>
        <w:t xml:space="preserve"> argue</w:t>
      </w:r>
      <w:r w:rsidRPr="00424846">
        <w:rPr>
          <w:rFonts w:ascii="Arial" w:hAnsi="Arial" w:cs="Arial"/>
          <w:sz w:val="24"/>
          <w:szCs w:val="24"/>
        </w:rPr>
        <w:t xml:space="preserve"> that it is a discredited method, which </w:t>
      </w:r>
      <w:r w:rsidR="005F07B9" w:rsidRPr="00424846">
        <w:rPr>
          <w:rFonts w:ascii="Arial" w:hAnsi="Arial" w:cs="Arial"/>
          <w:sz w:val="24"/>
          <w:szCs w:val="24"/>
        </w:rPr>
        <w:t>leads</w:t>
      </w:r>
      <w:r w:rsidRPr="00424846">
        <w:rPr>
          <w:rFonts w:ascii="Arial" w:hAnsi="Arial" w:cs="Arial"/>
          <w:sz w:val="24"/>
          <w:szCs w:val="24"/>
        </w:rPr>
        <w:t xml:space="preserve"> to a slippery slope and a deterioration of social, moral and legal values, which, at worst, could result in retaliated terrorism</w:t>
      </w:r>
      <w:r w:rsidR="005F07B9" w:rsidRPr="00424846">
        <w:rPr>
          <w:rFonts w:ascii="Arial" w:hAnsi="Arial" w:cs="Arial"/>
          <w:sz w:val="24"/>
          <w:szCs w:val="24"/>
        </w:rPr>
        <w:t>, undermining the objective of state security</w:t>
      </w:r>
      <w:r w:rsidRPr="00424846">
        <w:rPr>
          <w:rFonts w:ascii="Arial" w:hAnsi="Arial" w:cs="Arial"/>
          <w:sz w:val="24"/>
          <w:szCs w:val="24"/>
        </w:rPr>
        <w:t xml:space="preserve">. </w:t>
      </w:r>
      <w:r w:rsidR="000E7C92" w:rsidRPr="00424846">
        <w:rPr>
          <w:rFonts w:ascii="Arial" w:hAnsi="Arial" w:cs="Arial"/>
          <w:sz w:val="24"/>
          <w:szCs w:val="24"/>
        </w:rPr>
        <w:t>T</w:t>
      </w:r>
      <w:r w:rsidR="00B95054" w:rsidRPr="00424846">
        <w:rPr>
          <w:rFonts w:ascii="Arial" w:hAnsi="Arial" w:cs="Arial"/>
          <w:sz w:val="24"/>
          <w:szCs w:val="24"/>
        </w:rPr>
        <w:t xml:space="preserve">he </w:t>
      </w:r>
      <w:r w:rsidR="00B95054" w:rsidRPr="00424846">
        <w:rPr>
          <w:rFonts w:ascii="Arial" w:hAnsi="Arial" w:cs="Arial"/>
          <w:sz w:val="24"/>
          <w:szCs w:val="24"/>
        </w:rPr>
        <w:lastRenderedPageBreak/>
        <w:t>Abu Ghraib case</w:t>
      </w:r>
      <w:r w:rsidR="00BC2AFF" w:rsidRPr="00424846">
        <w:rPr>
          <w:rFonts w:ascii="Arial" w:hAnsi="Arial" w:cs="Arial"/>
          <w:sz w:val="24"/>
          <w:szCs w:val="24"/>
        </w:rPr>
        <w:t xml:space="preserve"> study shows</w:t>
      </w:r>
      <w:r w:rsidR="00B95054" w:rsidRPr="00424846">
        <w:rPr>
          <w:rFonts w:ascii="Arial" w:hAnsi="Arial" w:cs="Arial"/>
          <w:sz w:val="24"/>
          <w:szCs w:val="24"/>
        </w:rPr>
        <w:t xml:space="preserve">, </w:t>
      </w:r>
      <w:r w:rsidR="000E7C92" w:rsidRPr="00424846">
        <w:rPr>
          <w:rFonts w:ascii="Arial" w:hAnsi="Arial" w:cs="Arial"/>
          <w:sz w:val="24"/>
          <w:szCs w:val="24"/>
        </w:rPr>
        <w:t xml:space="preserve">that </w:t>
      </w:r>
      <w:r w:rsidR="00B95054" w:rsidRPr="00424846">
        <w:rPr>
          <w:rFonts w:ascii="Arial" w:hAnsi="Arial" w:cs="Arial"/>
          <w:sz w:val="24"/>
          <w:szCs w:val="24"/>
        </w:rPr>
        <w:t xml:space="preserve">even trained operatives found a way to abuse </w:t>
      </w:r>
      <w:r w:rsidR="000E7C92" w:rsidRPr="00424846">
        <w:rPr>
          <w:rFonts w:ascii="Arial" w:hAnsi="Arial" w:cs="Arial"/>
          <w:sz w:val="24"/>
          <w:szCs w:val="24"/>
        </w:rPr>
        <w:t xml:space="preserve">the </w:t>
      </w:r>
      <w:r w:rsidR="00B95054" w:rsidRPr="00424846">
        <w:rPr>
          <w:rFonts w:ascii="Arial" w:hAnsi="Arial" w:cs="Arial"/>
          <w:sz w:val="24"/>
          <w:szCs w:val="24"/>
        </w:rPr>
        <w:t>‘sanctioned-but-limited’ authority to torture</w:t>
      </w:r>
      <w:r w:rsidR="000E7C92" w:rsidRPr="00424846">
        <w:rPr>
          <w:rFonts w:ascii="Arial" w:hAnsi="Arial" w:cs="Arial"/>
          <w:sz w:val="24"/>
          <w:szCs w:val="24"/>
        </w:rPr>
        <w:t xml:space="preserve"> they had, indicating that the slipper-slope is inevitable</w:t>
      </w:r>
      <w:r w:rsidR="00C80E9D" w:rsidRPr="00424846">
        <w:rPr>
          <w:rStyle w:val="FootnoteReference"/>
          <w:rFonts w:ascii="Arial" w:hAnsi="Arial" w:cs="Arial"/>
          <w:sz w:val="24"/>
          <w:szCs w:val="24"/>
        </w:rPr>
        <w:footnoteReference w:id="163"/>
      </w:r>
      <w:r w:rsidR="00B95054" w:rsidRPr="00424846">
        <w:rPr>
          <w:rFonts w:ascii="Arial" w:hAnsi="Arial" w:cs="Arial"/>
          <w:sz w:val="24"/>
          <w:szCs w:val="24"/>
        </w:rPr>
        <w:t xml:space="preserve">. </w:t>
      </w:r>
      <w:r w:rsidR="000E7C92" w:rsidRPr="00424846">
        <w:rPr>
          <w:rFonts w:ascii="Arial" w:hAnsi="Arial" w:cs="Arial"/>
          <w:sz w:val="24"/>
          <w:szCs w:val="24"/>
        </w:rPr>
        <w:t>Moreover</w:t>
      </w:r>
      <w:r w:rsidR="00B95054" w:rsidRPr="00424846">
        <w:rPr>
          <w:rFonts w:ascii="Arial" w:hAnsi="Arial" w:cs="Arial"/>
          <w:sz w:val="24"/>
          <w:szCs w:val="24"/>
        </w:rPr>
        <w:t xml:space="preserve">, </w:t>
      </w:r>
      <w:r w:rsidR="00C80E9D" w:rsidRPr="00424846">
        <w:rPr>
          <w:rFonts w:ascii="Arial" w:hAnsi="Arial" w:cs="Arial"/>
          <w:sz w:val="24"/>
          <w:szCs w:val="24"/>
        </w:rPr>
        <w:t>no</w:t>
      </w:r>
      <w:r w:rsidR="00B95054" w:rsidRPr="00424846">
        <w:rPr>
          <w:rFonts w:ascii="Arial" w:hAnsi="Arial" w:cs="Arial"/>
          <w:sz w:val="24"/>
          <w:szCs w:val="24"/>
        </w:rPr>
        <w:t xml:space="preserve"> protection </w:t>
      </w:r>
      <w:r w:rsidR="00C80E9D" w:rsidRPr="00424846">
        <w:rPr>
          <w:rFonts w:ascii="Arial" w:hAnsi="Arial" w:cs="Arial"/>
          <w:sz w:val="24"/>
          <w:szCs w:val="24"/>
        </w:rPr>
        <w:t>is provided in this</w:t>
      </w:r>
      <w:r w:rsidR="001919CE" w:rsidRPr="00424846">
        <w:rPr>
          <w:rFonts w:ascii="Arial" w:hAnsi="Arial" w:cs="Arial"/>
          <w:sz w:val="24"/>
          <w:szCs w:val="24"/>
        </w:rPr>
        <w:t xml:space="preserve"> model</w:t>
      </w:r>
      <w:r w:rsidR="00B95054" w:rsidRPr="00424846">
        <w:rPr>
          <w:rFonts w:ascii="Arial" w:hAnsi="Arial" w:cs="Arial"/>
          <w:sz w:val="24"/>
          <w:szCs w:val="24"/>
        </w:rPr>
        <w:t xml:space="preserve"> for the El </w:t>
      </w:r>
      <w:r w:rsidR="00C80E9D" w:rsidRPr="00424846">
        <w:rPr>
          <w:rFonts w:ascii="Arial" w:hAnsi="Arial" w:cs="Arial"/>
          <w:sz w:val="24"/>
          <w:szCs w:val="24"/>
        </w:rPr>
        <w:t>M</w:t>
      </w:r>
      <w:r w:rsidR="00B95054" w:rsidRPr="00424846">
        <w:rPr>
          <w:rFonts w:ascii="Arial" w:hAnsi="Arial" w:cs="Arial"/>
          <w:sz w:val="24"/>
          <w:szCs w:val="24"/>
        </w:rPr>
        <w:t>asri</w:t>
      </w:r>
      <w:r w:rsidR="001919CE" w:rsidRPr="00424846">
        <w:rPr>
          <w:rFonts w:ascii="Arial" w:hAnsi="Arial" w:cs="Arial"/>
          <w:sz w:val="24"/>
          <w:szCs w:val="24"/>
        </w:rPr>
        <w:t>’s, Jean’s</w:t>
      </w:r>
      <w:r w:rsidR="003F2CC4" w:rsidRPr="00424846">
        <w:rPr>
          <w:rFonts w:ascii="Arial" w:hAnsi="Arial" w:cs="Arial"/>
          <w:sz w:val="24"/>
          <w:szCs w:val="24"/>
        </w:rPr>
        <w:t xml:space="preserve"> and </w:t>
      </w:r>
      <w:r w:rsidR="001919CE" w:rsidRPr="00424846">
        <w:rPr>
          <w:rFonts w:ascii="Arial" w:hAnsi="Arial" w:cs="Arial"/>
          <w:sz w:val="24"/>
          <w:szCs w:val="24"/>
        </w:rPr>
        <w:t xml:space="preserve">Monke’s of the </w:t>
      </w:r>
      <w:r w:rsidR="00C80E9D" w:rsidRPr="00424846">
        <w:rPr>
          <w:rFonts w:ascii="Arial" w:hAnsi="Arial" w:cs="Arial"/>
          <w:sz w:val="24"/>
          <w:szCs w:val="24"/>
        </w:rPr>
        <w:t>world</w:t>
      </w:r>
      <w:r w:rsidR="001919CE" w:rsidRPr="00424846">
        <w:rPr>
          <w:rFonts w:ascii="Arial" w:hAnsi="Arial" w:cs="Arial"/>
          <w:sz w:val="24"/>
          <w:szCs w:val="24"/>
        </w:rPr>
        <w:t>, who were abused and sustained life-altering injuries</w:t>
      </w:r>
      <w:r w:rsidR="00C80E9D" w:rsidRPr="00424846">
        <w:rPr>
          <w:rFonts w:ascii="Arial" w:hAnsi="Arial" w:cs="Arial"/>
          <w:sz w:val="24"/>
          <w:szCs w:val="24"/>
        </w:rPr>
        <w:t>,</w:t>
      </w:r>
      <w:r w:rsidR="001919CE" w:rsidRPr="00424846">
        <w:rPr>
          <w:rFonts w:ascii="Arial" w:hAnsi="Arial" w:cs="Arial"/>
          <w:sz w:val="24"/>
          <w:szCs w:val="24"/>
        </w:rPr>
        <w:t xml:space="preserve"> only </w:t>
      </w:r>
      <w:r w:rsidR="00C80E9D" w:rsidRPr="00424846">
        <w:rPr>
          <w:rFonts w:ascii="Arial" w:hAnsi="Arial" w:cs="Arial"/>
          <w:sz w:val="24"/>
          <w:szCs w:val="24"/>
        </w:rPr>
        <w:t>for some of them to</w:t>
      </w:r>
      <w:r w:rsidR="001919CE" w:rsidRPr="00424846">
        <w:rPr>
          <w:rFonts w:ascii="Arial" w:hAnsi="Arial" w:cs="Arial"/>
          <w:sz w:val="24"/>
          <w:szCs w:val="24"/>
        </w:rPr>
        <w:t xml:space="preserve"> receive compensation </w:t>
      </w:r>
      <w:r w:rsidR="00C80E9D" w:rsidRPr="00424846">
        <w:rPr>
          <w:rFonts w:ascii="Arial" w:hAnsi="Arial" w:cs="Arial"/>
          <w:sz w:val="24"/>
          <w:szCs w:val="24"/>
        </w:rPr>
        <w:t xml:space="preserve">in return. </w:t>
      </w:r>
      <w:r w:rsidR="001919CE" w:rsidRPr="00424846">
        <w:rPr>
          <w:rFonts w:ascii="Arial" w:hAnsi="Arial" w:cs="Arial"/>
          <w:sz w:val="24"/>
          <w:szCs w:val="24"/>
        </w:rPr>
        <w:t xml:space="preserve"> </w:t>
      </w:r>
    </w:p>
    <w:p w14:paraId="7F495A57" w14:textId="41972A35" w:rsidR="006E3888" w:rsidRPr="00424846" w:rsidRDefault="00913E8A" w:rsidP="00862139">
      <w:pPr>
        <w:spacing w:line="480" w:lineRule="auto"/>
        <w:jc w:val="both"/>
        <w:rPr>
          <w:rFonts w:ascii="Arial" w:hAnsi="Arial" w:cs="Arial"/>
          <w:sz w:val="24"/>
          <w:szCs w:val="24"/>
        </w:rPr>
      </w:pPr>
      <w:r w:rsidRPr="00424846">
        <w:rPr>
          <w:rFonts w:ascii="Arial" w:hAnsi="Arial" w:cs="Arial"/>
          <w:sz w:val="24"/>
          <w:szCs w:val="24"/>
        </w:rPr>
        <w:t>One of the first torture models to be applied in a democratic state is the Landau Israeli torture model, which received mostly criticism from the international community for their justification of torture</w:t>
      </w:r>
      <w:r w:rsidR="008D615A" w:rsidRPr="00424846">
        <w:rPr>
          <w:rStyle w:val="FootnoteReference"/>
          <w:rFonts w:ascii="Arial" w:hAnsi="Arial" w:cs="Arial"/>
          <w:sz w:val="24"/>
          <w:szCs w:val="24"/>
        </w:rPr>
        <w:footnoteReference w:id="164"/>
      </w:r>
      <w:r w:rsidR="00641394" w:rsidRPr="00424846">
        <w:rPr>
          <w:rFonts w:ascii="Arial" w:hAnsi="Arial" w:cs="Arial"/>
          <w:sz w:val="24"/>
          <w:szCs w:val="24"/>
        </w:rPr>
        <w:t xml:space="preserve">, however, </w:t>
      </w:r>
      <w:r w:rsidRPr="00424846">
        <w:rPr>
          <w:rFonts w:ascii="Arial" w:hAnsi="Arial" w:cs="Arial"/>
          <w:sz w:val="24"/>
          <w:szCs w:val="24"/>
        </w:rPr>
        <w:t xml:space="preserve"> </w:t>
      </w:r>
      <w:r w:rsidR="00641394" w:rsidRPr="00424846">
        <w:rPr>
          <w:rFonts w:ascii="Arial" w:hAnsi="Arial" w:cs="Arial"/>
          <w:sz w:val="24"/>
          <w:szCs w:val="24"/>
        </w:rPr>
        <w:t>like Vermule,</w:t>
      </w:r>
      <w:r w:rsidR="00B95054" w:rsidRPr="00424846">
        <w:rPr>
          <w:rFonts w:ascii="Arial" w:hAnsi="Arial" w:cs="Arial"/>
          <w:sz w:val="24"/>
          <w:szCs w:val="24"/>
        </w:rPr>
        <w:t xml:space="preserve"> the defence of necessity </w:t>
      </w:r>
      <w:r w:rsidR="00641394" w:rsidRPr="00424846">
        <w:rPr>
          <w:rFonts w:ascii="Arial" w:hAnsi="Arial" w:cs="Arial"/>
          <w:sz w:val="24"/>
          <w:szCs w:val="24"/>
        </w:rPr>
        <w:t xml:space="preserve">was used </w:t>
      </w:r>
      <w:r w:rsidR="00B95054" w:rsidRPr="00424846">
        <w:rPr>
          <w:rFonts w:ascii="Arial" w:hAnsi="Arial" w:cs="Arial"/>
          <w:sz w:val="24"/>
          <w:szCs w:val="24"/>
        </w:rPr>
        <w:t>to justify inflicting torture on suspect</w:t>
      </w:r>
      <w:r w:rsidR="00641394" w:rsidRPr="00424846">
        <w:rPr>
          <w:rFonts w:ascii="Arial" w:hAnsi="Arial" w:cs="Arial"/>
          <w:sz w:val="24"/>
          <w:szCs w:val="24"/>
        </w:rPr>
        <w:t>s</w:t>
      </w:r>
      <w:r w:rsidR="00B95054" w:rsidRPr="00424846">
        <w:rPr>
          <w:rFonts w:ascii="Arial" w:hAnsi="Arial" w:cs="Arial"/>
          <w:sz w:val="24"/>
          <w:szCs w:val="24"/>
        </w:rPr>
        <w:t xml:space="preserve"> </w:t>
      </w:r>
      <w:r w:rsidR="001919CE" w:rsidRPr="00424846">
        <w:rPr>
          <w:rFonts w:ascii="Arial" w:hAnsi="Arial" w:cs="Arial"/>
          <w:sz w:val="24"/>
          <w:szCs w:val="24"/>
        </w:rPr>
        <w:t>to prevent attacks</w:t>
      </w:r>
      <w:r w:rsidR="002223C5" w:rsidRPr="00424846">
        <w:rPr>
          <w:rFonts w:ascii="Arial" w:hAnsi="Arial" w:cs="Arial"/>
          <w:sz w:val="24"/>
          <w:szCs w:val="24"/>
        </w:rPr>
        <w:t xml:space="preserve"> or obtain confessions</w:t>
      </w:r>
      <w:r w:rsidR="001919CE" w:rsidRPr="00424846">
        <w:rPr>
          <w:rFonts w:ascii="Arial" w:hAnsi="Arial" w:cs="Arial"/>
          <w:sz w:val="24"/>
          <w:szCs w:val="24"/>
        </w:rPr>
        <w:t xml:space="preserve">, all monitored and regulated by the Landau </w:t>
      </w:r>
      <w:r w:rsidR="00641394" w:rsidRPr="00424846">
        <w:rPr>
          <w:rFonts w:ascii="Arial" w:hAnsi="Arial" w:cs="Arial"/>
          <w:sz w:val="24"/>
          <w:szCs w:val="24"/>
        </w:rPr>
        <w:t>C</w:t>
      </w:r>
      <w:r w:rsidR="001919CE" w:rsidRPr="00424846">
        <w:rPr>
          <w:rFonts w:ascii="Arial" w:hAnsi="Arial" w:cs="Arial"/>
          <w:sz w:val="24"/>
          <w:szCs w:val="24"/>
        </w:rPr>
        <w:t>ommission</w:t>
      </w:r>
      <w:r w:rsidR="008D615A" w:rsidRPr="00424846">
        <w:rPr>
          <w:rStyle w:val="FootnoteReference"/>
          <w:rFonts w:ascii="Arial" w:hAnsi="Arial" w:cs="Arial"/>
          <w:sz w:val="24"/>
          <w:szCs w:val="24"/>
        </w:rPr>
        <w:footnoteReference w:id="165"/>
      </w:r>
      <w:r w:rsidR="001919CE" w:rsidRPr="00424846">
        <w:rPr>
          <w:rFonts w:ascii="Arial" w:hAnsi="Arial" w:cs="Arial"/>
          <w:sz w:val="24"/>
          <w:szCs w:val="24"/>
        </w:rPr>
        <w:t xml:space="preserve">. Outwardly, </w:t>
      </w:r>
      <w:r w:rsidR="00641394" w:rsidRPr="00424846">
        <w:rPr>
          <w:rFonts w:ascii="Arial" w:hAnsi="Arial" w:cs="Arial"/>
          <w:sz w:val="24"/>
          <w:szCs w:val="24"/>
        </w:rPr>
        <w:t>it appears as a</w:t>
      </w:r>
      <w:r w:rsidR="001919CE" w:rsidRPr="00424846">
        <w:rPr>
          <w:rFonts w:ascii="Arial" w:hAnsi="Arial" w:cs="Arial"/>
          <w:sz w:val="24"/>
          <w:szCs w:val="24"/>
        </w:rPr>
        <w:t xml:space="preserve"> well-established and balanced infra-structure that allows the objective to be reached without compromising the </w:t>
      </w:r>
      <w:r w:rsidR="002223C5" w:rsidRPr="00424846">
        <w:rPr>
          <w:rFonts w:ascii="Arial" w:hAnsi="Arial" w:cs="Arial"/>
          <w:sz w:val="24"/>
          <w:szCs w:val="24"/>
        </w:rPr>
        <w:t xml:space="preserve">integrity of the </w:t>
      </w:r>
      <w:r w:rsidR="001919CE" w:rsidRPr="00424846">
        <w:rPr>
          <w:rFonts w:ascii="Arial" w:hAnsi="Arial" w:cs="Arial"/>
          <w:sz w:val="24"/>
          <w:szCs w:val="24"/>
        </w:rPr>
        <w:t>legal system</w:t>
      </w:r>
      <w:r w:rsidR="002223C5" w:rsidRPr="00424846">
        <w:rPr>
          <w:rFonts w:ascii="Arial" w:hAnsi="Arial" w:cs="Arial"/>
          <w:sz w:val="24"/>
          <w:szCs w:val="24"/>
        </w:rPr>
        <w:t>.</w:t>
      </w:r>
      <w:r w:rsidR="001919CE" w:rsidRPr="00424846">
        <w:rPr>
          <w:rFonts w:ascii="Arial" w:hAnsi="Arial" w:cs="Arial"/>
          <w:sz w:val="24"/>
          <w:szCs w:val="24"/>
        </w:rPr>
        <w:t xml:space="preserve"> </w:t>
      </w:r>
      <w:r w:rsidR="008D159D" w:rsidRPr="00424846">
        <w:rPr>
          <w:rFonts w:ascii="Arial" w:hAnsi="Arial" w:cs="Arial"/>
          <w:sz w:val="24"/>
          <w:szCs w:val="24"/>
        </w:rPr>
        <w:t xml:space="preserve"> </w:t>
      </w:r>
      <w:r w:rsidR="002223C5" w:rsidRPr="00424846">
        <w:rPr>
          <w:rFonts w:ascii="Arial" w:hAnsi="Arial" w:cs="Arial"/>
          <w:sz w:val="24"/>
          <w:szCs w:val="24"/>
        </w:rPr>
        <w:t>H</w:t>
      </w:r>
      <w:r w:rsidR="001919CE" w:rsidRPr="00424846">
        <w:rPr>
          <w:rFonts w:ascii="Arial" w:hAnsi="Arial" w:cs="Arial"/>
          <w:sz w:val="24"/>
          <w:szCs w:val="24"/>
        </w:rPr>
        <w:t xml:space="preserve">owever, the Landau commission found that interrogators did </w:t>
      </w:r>
      <w:r w:rsidR="00AF25FD" w:rsidRPr="00424846">
        <w:rPr>
          <w:rFonts w:ascii="Arial" w:hAnsi="Arial" w:cs="Arial"/>
          <w:sz w:val="24"/>
          <w:szCs w:val="24"/>
        </w:rPr>
        <w:t>systematically</w:t>
      </w:r>
      <w:r w:rsidR="001919CE" w:rsidRPr="00424846">
        <w:rPr>
          <w:rFonts w:ascii="Arial" w:hAnsi="Arial" w:cs="Arial"/>
          <w:sz w:val="24"/>
          <w:szCs w:val="24"/>
        </w:rPr>
        <w:t xml:space="preserve"> </w:t>
      </w:r>
      <w:r w:rsidR="002223C5" w:rsidRPr="00424846">
        <w:rPr>
          <w:rFonts w:ascii="Arial" w:hAnsi="Arial" w:cs="Arial"/>
          <w:sz w:val="24"/>
          <w:szCs w:val="24"/>
        </w:rPr>
        <w:t xml:space="preserve">try to obtain </w:t>
      </w:r>
      <w:r w:rsidR="00AF25FD" w:rsidRPr="00424846">
        <w:rPr>
          <w:rFonts w:ascii="Arial" w:hAnsi="Arial" w:cs="Arial"/>
          <w:sz w:val="24"/>
          <w:szCs w:val="24"/>
        </w:rPr>
        <w:t>‘</w:t>
      </w:r>
      <w:r w:rsidR="002223C5" w:rsidRPr="00424846">
        <w:rPr>
          <w:rFonts w:ascii="Arial" w:hAnsi="Arial" w:cs="Arial"/>
          <w:sz w:val="24"/>
          <w:szCs w:val="24"/>
        </w:rPr>
        <w:t>false confessions</w:t>
      </w:r>
      <w:r w:rsidR="00AF25FD" w:rsidRPr="00424846">
        <w:rPr>
          <w:rFonts w:ascii="Arial" w:hAnsi="Arial" w:cs="Arial"/>
          <w:sz w:val="24"/>
          <w:szCs w:val="24"/>
        </w:rPr>
        <w:t>’</w:t>
      </w:r>
      <w:r w:rsidR="008D615A" w:rsidRPr="00424846">
        <w:rPr>
          <w:rStyle w:val="FootnoteReference"/>
          <w:rFonts w:ascii="Arial" w:hAnsi="Arial" w:cs="Arial"/>
          <w:sz w:val="24"/>
          <w:szCs w:val="24"/>
        </w:rPr>
        <w:footnoteReference w:id="166"/>
      </w:r>
      <w:r w:rsidR="00AF25FD" w:rsidRPr="00424846">
        <w:rPr>
          <w:rFonts w:ascii="Arial" w:hAnsi="Arial" w:cs="Arial"/>
          <w:sz w:val="24"/>
          <w:szCs w:val="24"/>
        </w:rPr>
        <w:t xml:space="preserve">, </w:t>
      </w:r>
      <w:r w:rsidR="002223C5" w:rsidRPr="00424846">
        <w:rPr>
          <w:rFonts w:ascii="Arial" w:hAnsi="Arial" w:cs="Arial"/>
          <w:sz w:val="24"/>
          <w:szCs w:val="24"/>
        </w:rPr>
        <w:t xml:space="preserve">by feeding the information to suspects </w:t>
      </w:r>
      <w:r w:rsidR="00AF25FD" w:rsidRPr="00424846">
        <w:rPr>
          <w:rFonts w:ascii="Arial" w:hAnsi="Arial" w:cs="Arial"/>
          <w:sz w:val="24"/>
          <w:szCs w:val="24"/>
        </w:rPr>
        <w:t xml:space="preserve">being </w:t>
      </w:r>
      <w:r w:rsidR="002223C5" w:rsidRPr="00424846">
        <w:rPr>
          <w:rFonts w:ascii="Arial" w:hAnsi="Arial" w:cs="Arial"/>
          <w:sz w:val="24"/>
          <w:szCs w:val="24"/>
        </w:rPr>
        <w:t xml:space="preserve">torturing </w:t>
      </w:r>
      <w:r w:rsidR="00AF25FD" w:rsidRPr="00424846">
        <w:rPr>
          <w:rFonts w:ascii="Arial" w:hAnsi="Arial" w:cs="Arial"/>
          <w:sz w:val="24"/>
          <w:szCs w:val="24"/>
        </w:rPr>
        <w:t>and forcing them to repeat it as their confession and</w:t>
      </w:r>
      <w:r w:rsidR="002223C5" w:rsidRPr="00424846">
        <w:rPr>
          <w:rFonts w:ascii="Arial" w:hAnsi="Arial" w:cs="Arial"/>
          <w:sz w:val="24"/>
          <w:szCs w:val="24"/>
        </w:rPr>
        <w:t xml:space="preserve"> providing ‘false testimonies</w:t>
      </w:r>
      <w:r w:rsidR="00E40EEE" w:rsidRPr="00424846">
        <w:rPr>
          <w:rFonts w:ascii="Arial" w:hAnsi="Arial" w:cs="Arial"/>
          <w:sz w:val="24"/>
          <w:szCs w:val="24"/>
        </w:rPr>
        <w:t>’</w:t>
      </w:r>
      <w:r w:rsidR="002223C5" w:rsidRPr="00424846">
        <w:rPr>
          <w:rFonts w:ascii="Arial" w:hAnsi="Arial" w:cs="Arial"/>
          <w:sz w:val="24"/>
          <w:szCs w:val="24"/>
        </w:rPr>
        <w:t xml:space="preserve"> </w:t>
      </w:r>
      <w:r w:rsidR="00AF25FD" w:rsidRPr="00424846">
        <w:rPr>
          <w:rFonts w:ascii="Arial" w:hAnsi="Arial" w:cs="Arial"/>
          <w:sz w:val="24"/>
          <w:szCs w:val="24"/>
        </w:rPr>
        <w:t xml:space="preserve">in court, claiming </w:t>
      </w:r>
      <w:r w:rsidR="002223C5" w:rsidRPr="00424846">
        <w:rPr>
          <w:rFonts w:ascii="Arial" w:hAnsi="Arial" w:cs="Arial"/>
          <w:sz w:val="24"/>
          <w:szCs w:val="24"/>
        </w:rPr>
        <w:t>that they did not use</w:t>
      </w:r>
      <w:r w:rsidR="00AF25FD" w:rsidRPr="00424846">
        <w:rPr>
          <w:rFonts w:ascii="Arial" w:hAnsi="Arial" w:cs="Arial"/>
          <w:sz w:val="24"/>
          <w:szCs w:val="24"/>
        </w:rPr>
        <w:t xml:space="preserve"> excessive </w:t>
      </w:r>
      <w:r w:rsidR="002223C5" w:rsidRPr="00424846">
        <w:rPr>
          <w:rFonts w:ascii="Arial" w:hAnsi="Arial" w:cs="Arial"/>
          <w:sz w:val="24"/>
          <w:szCs w:val="24"/>
        </w:rPr>
        <w:t xml:space="preserve"> force when</w:t>
      </w:r>
      <w:r w:rsidR="00AF25FD" w:rsidRPr="00424846">
        <w:rPr>
          <w:rFonts w:ascii="Arial" w:hAnsi="Arial" w:cs="Arial"/>
          <w:sz w:val="24"/>
          <w:szCs w:val="24"/>
        </w:rPr>
        <w:t xml:space="preserve">, </w:t>
      </w:r>
      <w:r w:rsidR="002223C5" w:rsidRPr="00424846">
        <w:rPr>
          <w:rFonts w:ascii="Arial" w:hAnsi="Arial" w:cs="Arial"/>
          <w:sz w:val="24"/>
          <w:szCs w:val="24"/>
        </w:rPr>
        <w:t>in actual fact</w:t>
      </w:r>
      <w:r w:rsidR="00AF25FD" w:rsidRPr="00424846">
        <w:rPr>
          <w:rFonts w:ascii="Arial" w:hAnsi="Arial" w:cs="Arial"/>
          <w:sz w:val="24"/>
          <w:szCs w:val="24"/>
        </w:rPr>
        <w:t xml:space="preserve">, </w:t>
      </w:r>
      <w:r w:rsidR="002223C5" w:rsidRPr="00424846">
        <w:rPr>
          <w:rFonts w:ascii="Arial" w:hAnsi="Arial" w:cs="Arial"/>
          <w:sz w:val="24"/>
          <w:szCs w:val="24"/>
        </w:rPr>
        <w:t>they did</w:t>
      </w:r>
      <w:r w:rsidR="00AF25FD" w:rsidRPr="00424846">
        <w:rPr>
          <w:rFonts w:ascii="Arial" w:hAnsi="Arial" w:cs="Arial"/>
          <w:sz w:val="24"/>
          <w:szCs w:val="24"/>
        </w:rPr>
        <w:t>, a</w:t>
      </w:r>
      <w:r w:rsidR="002223C5" w:rsidRPr="00424846">
        <w:rPr>
          <w:rFonts w:ascii="Arial" w:hAnsi="Arial" w:cs="Arial"/>
          <w:sz w:val="24"/>
          <w:szCs w:val="24"/>
        </w:rPr>
        <w:t>ll whils</w:t>
      </w:r>
      <w:r w:rsidR="00AF25FD" w:rsidRPr="00424846">
        <w:rPr>
          <w:rFonts w:ascii="Arial" w:hAnsi="Arial" w:cs="Arial"/>
          <w:sz w:val="24"/>
          <w:szCs w:val="24"/>
        </w:rPr>
        <w:t>t,</w:t>
      </w:r>
      <w:r w:rsidR="002223C5" w:rsidRPr="00424846">
        <w:rPr>
          <w:rFonts w:ascii="Arial" w:hAnsi="Arial" w:cs="Arial"/>
          <w:sz w:val="24"/>
          <w:szCs w:val="24"/>
        </w:rPr>
        <w:t xml:space="preserve"> relying on the </w:t>
      </w:r>
      <w:r w:rsidR="00E40EEE" w:rsidRPr="00424846">
        <w:rPr>
          <w:rFonts w:ascii="Arial" w:hAnsi="Arial" w:cs="Arial"/>
          <w:sz w:val="24"/>
          <w:szCs w:val="24"/>
        </w:rPr>
        <w:t xml:space="preserve">‘shroud of secrecy’ and </w:t>
      </w:r>
      <w:r w:rsidR="002223C5" w:rsidRPr="00424846">
        <w:rPr>
          <w:rFonts w:ascii="Arial" w:hAnsi="Arial" w:cs="Arial"/>
          <w:sz w:val="24"/>
          <w:szCs w:val="24"/>
        </w:rPr>
        <w:t xml:space="preserve">defence of necessity to provide </w:t>
      </w:r>
      <w:r w:rsidR="00E40EEE" w:rsidRPr="00424846">
        <w:rPr>
          <w:rFonts w:ascii="Arial" w:hAnsi="Arial" w:cs="Arial"/>
          <w:sz w:val="24"/>
          <w:szCs w:val="24"/>
        </w:rPr>
        <w:t xml:space="preserve">anonymity and </w:t>
      </w:r>
      <w:r w:rsidR="002223C5" w:rsidRPr="00424846">
        <w:rPr>
          <w:rFonts w:ascii="Arial" w:hAnsi="Arial" w:cs="Arial"/>
          <w:sz w:val="24"/>
          <w:szCs w:val="24"/>
        </w:rPr>
        <w:t>immunity</w:t>
      </w:r>
      <w:r w:rsidR="00AF25FD" w:rsidRPr="00424846">
        <w:rPr>
          <w:rFonts w:ascii="Arial" w:hAnsi="Arial" w:cs="Arial"/>
          <w:sz w:val="24"/>
          <w:szCs w:val="24"/>
        </w:rPr>
        <w:t xml:space="preserve"> from the law</w:t>
      </w:r>
      <w:r w:rsidR="006E3888" w:rsidRPr="00424846">
        <w:rPr>
          <w:rStyle w:val="FootnoteReference"/>
          <w:rFonts w:ascii="Arial" w:hAnsi="Arial" w:cs="Arial"/>
          <w:sz w:val="24"/>
          <w:szCs w:val="24"/>
        </w:rPr>
        <w:footnoteReference w:id="167"/>
      </w:r>
      <w:r w:rsidR="00AF25FD" w:rsidRPr="00424846">
        <w:rPr>
          <w:rFonts w:ascii="Arial" w:hAnsi="Arial" w:cs="Arial"/>
          <w:sz w:val="24"/>
          <w:szCs w:val="24"/>
        </w:rPr>
        <w:t xml:space="preserve">. </w:t>
      </w:r>
      <w:r w:rsidR="00E70764" w:rsidRPr="00424846">
        <w:rPr>
          <w:rFonts w:ascii="Arial" w:hAnsi="Arial" w:cs="Arial"/>
          <w:sz w:val="24"/>
          <w:szCs w:val="24"/>
        </w:rPr>
        <w:t xml:space="preserve">Lending legitimacy to the argument that, a </w:t>
      </w:r>
      <w:r w:rsidR="00E40EEE" w:rsidRPr="00424846">
        <w:rPr>
          <w:rFonts w:ascii="Arial" w:hAnsi="Arial" w:cs="Arial"/>
          <w:sz w:val="24"/>
          <w:szCs w:val="24"/>
        </w:rPr>
        <w:t>model of torture regulated by the court and commissions, will ultimately</w:t>
      </w:r>
      <w:r w:rsidR="00297AC7" w:rsidRPr="00424846">
        <w:rPr>
          <w:rFonts w:ascii="Arial" w:hAnsi="Arial" w:cs="Arial"/>
          <w:sz w:val="24"/>
          <w:szCs w:val="24"/>
        </w:rPr>
        <w:t>, despite any effort</w:t>
      </w:r>
      <w:r w:rsidR="00E70764" w:rsidRPr="00424846">
        <w:rPr>
          <w:rFonts w:ascii="Arial" w:hAnsi="Arial" w:cs="Arial"/>
          <w:sz w:val="24"/>
          <w:szCs w:val="24"/>
        </w:rPr>
        <w:t>s</w:t>
      </w:r>
      <w:r w:rsidR="00297AC7" w:rsidRPr="00424846">
        <w:rPr>
          <w:rFonts w:ascii="Arial" w:hAnsi="Arial" w:cs="Arial"/>
          <w:sz w:val="24"/>
          <w:szCs w:val="24"/>
        </w:rPr>
        <w:t xml:space="preserve"> to prevent, </w:t>
      </w:r>
      <w:r w:rsidR="00AF25FD" w:rsidRPr="00424846">
        <w:rPr>
          <w:rFonts w:ascii="Arial" w:hAnsi="Arial" w:cs="Arial"/>
          <w:sz w:val="24"/>
          <w:szCs w:val="24"/>
        </w:rPr>
        <w:t>become</w:t>
      </w:r>
      <w:r w:rsidR="00297AC7" w:rsidRPr="00424846">
        <w:rPr>
          <w:rFonts w:ascii="Arial" w:hAnsi="Arial" w:cs="Arial"/>
          <w:sz w:val="24"/>
          <w:szCs w:val="24"/>
        </w:rPr>
        <w:t xml:space="preserve"> a</w:t>
      </w:r>
      <w:r w:rsidR="00E40EEE" w:rsidRPr="00424846">
        <w:rPr>
          <w:rFonts w:ascii="Arial" w:hAnsi="Arial" w:cs="Arial"/>
          <w:sz w:val="24"/>
          <w:szCs w:val="24"/>
        </w:rPr>
        <w:t xml:space="preserve"> tool used to abuse and oppress people </w:t>
      </w:r>
      <w:r w:rsidR="00297AC7" w:rsidRPr="00424846">
        <w:rPr>
          <w:rFonts w:ascii="Arial" w:hAnsi="Arial" w:cs="Arial"/>
          <w:sz w:val="24"/>
          <w:szCs w:val="24"/>
        </w:rPr>
        <w:t>with no accountability</w:t>
      </w:r>
      <w:r w:rsidR="006E3888" w:rsidRPr="00424846">
        <w:rPr>
          <w:rStyle w:val="FootnoteReference"/>
          <w:rFonts w:ascii="Arial" w:hAnsi="Arial" w:cs="Arial"/>
          <w:sz w:val="24"/>
          <w:szCs w:val="24"/>
        </w:rPr>
        <w:footnoteReference w:id="168"/>
      </w:r>
      <w:r w:rsidR="00297AC7" w:rsidRPr="00424846">
        <w:rPr>
          <w:rFonts w:ascii="Arial" w:hAnsi="Arial" w:cs="Arial"/>
          <w:sz w:val="24"/>
          <w:szCs w:val="24"/>
        </w:rPr>
        <w:t xml:space="preserve">. In relation to the question of, whether the UK should reinstate judicial torture, based on the Landau </w:t>
      </w:r>
      <w:r w:rsidR="00297AC7" w:rsidRPr="00424846">
        <w:rPr>
          <w:rFonts w:ascii="Arial" w:hAnsi="Arial" w:cs="Arial"/>
          <w:sz w:val="24"/>
          <w:szCs w:val="24"/>
        </w:rPr>
        <w:lastRenderedPageBreak/>
        <w:t>model</w:t>
      </w:r>
      <w:r w:rsidR="008D159D" w:rsidRPr="00424846">
        <w:rPr>
          <w:rFonts w:ascii="Arial" w:hAnsi="Arial" w:cs="Arial"/>
          <w:sz w:val="24"/>
          <w:szCs w:val="24"/>
        </w:rPr>
        <w:t xml:space="preserve"> exhibiting</w:t>
      </w:r>
      <w:r w:rsidR="00297AC7" w:rsidRPr="00424846">
        <w:rPr>
          <w:rFonts w:ascii="Arial" w:hAnsi="Arial" w:cs="Arial"/>
          <w:sz w:val="24"/>
          <w:szCs w:val="24"/>
        </w:rPr>
        <w:t xml:space="preserve"> how a torture model </w:t>
      </w:r>
      <w:r w:rsidR="008D159D" w:rsidRPr="00424846">
        <w:rPr>
          <w:rFonts w:ascii="Arial" w:hAnsi="Arial" w:cs="Arial"/>
          <w:sz w:val="24"/>
          <w:szCs w:val="24"/>
        </w:rPr>
        <w:t>can be abused</w:t>
      </w:r>
      <w:r w:rsidR="00297AC7" w:rsidRPr="00424846">
        <w:rPr>
          <w:rFonts w:ascii="Arial" w:hAnsi="Arial" w:cs="Arial"/>
          <w:sz w:val="24"/>
          <w:szCs w:val="24"/>
        </w:rPr>
        <w:t xml:space="preserve">, </w:t>
      </w:r>
      <w:r w:rsidR="008D159D" w:rsidRPr="00424846">
        <w:rPr>
          <w:rFonts w:ascii="Arial" w:hAnsi="Arial" w:cs="Arial"/>
          <w:sz w:val="24"/>
          <w:szCs w:val="24"/>
        </w:rPr>
        <w:t xml:space="preserve">I conclude that a model of torture should not exist in the UK. </w:t>
      </w:r>
    </w:p>
    <w:p w14:paraId="5F3B0081" w14:textId="14D19CA3" w:rsidR="00823E1E" w:rsidRDefault="00823E1E" w:rsidP="00862139">
      <w:pPr>
        <w:spacing w:line="480" w:lineRule="auto"/>
        <w:jc w:val="both"/>
        <w:rPr>
          <w:rFonts w:ascii="Arial" w:hAnsi="Arial" w:cs="Arial"/>
          <w:sz w:val="24"/>
          <w:szCs w:val="24"/>
        </w:rPr>
      </w:pPr>
    </w:p>
    <w:p w14:paraId="4872C918" w14:textId="76997A2D" w:rsidR="005975BB" w:rsidRDefault="005975BB" w:rsidP="00862139">
      <w:pPr>
        <w:spacing w:line="480" w:lineRule="auto"/>
        <w:jc w:val="both"/>
        <w:rPr>
          <w:rFonts w:ascii="Arial" w:hAnsi="Arial" w:cs="Arial"/>
          <w:sz w:val="24"/>
          <w:szCs w:val="24"/>
        </w:rPr>
      </w:pPr>
    </w:p>
    <w:p w14:paraId="78F11617" w14:textId="53E97966" w:rsidR="005975BB" w:rsidRDefault="005975BB" w:rsidP="00862139">
      <w:pPr>
        <w:spacing w:line="480" w:lineRule="auto"/>
        <w:jc w:val="both"/>
        <w:rPr>
          <w:rFonts w:ascii="Arial" w:hAnsi="Arial" w:cs="Arial"/>
          <w:sz w:val="24"/>
          <w:szCs w:val="24"/>
        </w:rPr>
      </w:pPr>
    </w:p>
    <w:p w14:paraId="3EE32070" w14:textId="2A602F1F" w:rsidR="005975BB" w:rsidRDefault="005975BB" w:rsidP="00862139">
      <w:pPr>
        <w:spacing w:line="480" w:lineRule="auto"/>
        <w:jc w:val="both"/>
        <w:rPr>
          <w:rFonts w:ascii="Arial" w:hAnsi="Arial" w:cs="Arial"/>
          <w:sz w:val="24"/>
          <w:szCs w:val="24"/>
        </w:rPr>
      </w:pPr>
    </w:p>
    <w:p w14:paraId="46FC8836" w14:textId="61025230" w:rsidR="005975BB" w:rsidRDefault="005975BB" w:rsidP="00862139">
      <w:pPr>
        <w:spacing w:line="480" w:lineRule="auto"/>
        <w:jc w:val="both"/>
        <w:rPr>
          <w:rFonts w:ascii="Arial" w:hAnsi="Arial" w:cs="Arial"/>
          <w:sz w:val="24"/>
          <w:szCs w:val="24"/>
        </w:rPr>
      </w:pPr>
    </w:p>
    <w:p w14:paraId="3117DBB9" w14:textId="7B550B57" w:rsidR="005975BB" w:rsidRDefault="005975BB" w:rsidP="00862139">
      <w:pPr>
        <w:spacing w:line="480" w:lineRule="auto"/>
        <w:jc w:val="both"/>
        <w:rPr>
          <w:rFonts w:ascii="Arial" w:hAnsi="Arial" w:cs="Arial"/>
          <w:sz w:val="24"/>
          <w:szCs w:val="24"/>
        </w:rPr>
      </w:pPr>
    </w:p>
    <w:p w14:paraId="08A0FF38" w14:textId="236BCF80" w:rsidR="005975BB" w:rsidRDefault="005975BB" w:rsidP="00862139">
      <w:pPr>
        <w:spacing w:line="480" w:lineRule="auto"/>
        <w:jc w:val="both"/>
        <w:rPr>
          <w:rFonts w:ascii="Arial" w:hAnsi="Arial" w:cs="Arial"/>
          <w:sz w:val="24"/>
          <w:szCs w:val="24"/>
        </w:rPr>
      </w:pPr>
    </w:p>
    <w:p w14:paraId="7A043844" w14:textId="0EEF6F95" w:rsidR="005975BB" w:rsidRDefault="005975BB" w:rsidP="00862139">
      <w:pPr>
        <w:spacing w:line="480" w:lineRule="auto"/>
        <w:jc w:val="both"/>
        <w:rPr>
          <w:rFonts w:ascii="Arial" w:hAnsi="Arial" w:cs="Arial"/>
          <w:sz w:val="24"/>
          <w:szCs w:val="24"/>
        </w:rPr>
      </w:pPr>
    </w:p>
    <w:p w14:paraId="129869BE" w14:textId="7C1D63DA" w:rsidR="005975BB" w:rsidRDefault="005975BB" w:rsidP="00862139">
      <w:pPr>
        <w:spacing w:line="480" w:lineRule="auto"/>
        <w:jc w:val="both"/>
        <w:rPr>
          <w:rFonts w:ascii="Arial" w:hAnsi="Arial" w:cs="Arial"/>
          <w:sz w:val="24"/>
          <w:szCs w:val="24"/>
        </w:rPr>
      </w:pPr>
    </w:p>
    <w:p w14:paraId="0E8CAD7E" w14:textId="45E861A9" w:rsidR="005975BB" w:rsidRDefault="005975BB" w:rsidP="00862139">
      <w:pPr>
        <w:spacing w:line="480" w:lineRule="auto"/>
        <w:jc w:val="both"/>
        <w:rPr>
          <w:rFonts w:ascii="Arial" w:hAnsi="Arial" w:cs="Arial"/>
          <w:sz w:val="24"/>
          <w:szCs w:val="24"/>
        </w:rPr>
      </w:pPr>
    </w:p>
    <w:p w14:paraId="7EF774A5" w14:textId="7642DF7D" w:rsidR="005975BB" w:rsidRDefault="005975BB" w:rsidP="00862139">
      <w:pPr>
        <w:spacing w:line="480" w:lineRule="auto"/>
        <w:jc w:val="both"/>
        <w:rPr>
          <w:rFonts w:ascii="Arial" w:hAnsi="Arial" w:cs="Arial"/>
          <w:sz w:val="24"/>
          <w:szCs w:val="24"/>
        </w:rPr>
      </w:pPr>
    </w:p>
    <w:p w14:paraId="7E84C0DB" w14:textId="45E79AE7" w:rsidR="005975BB" w:rsidRDefault="005975BB" w:rsidP="00862139">
      <w:pPr>
        <w:spacing w:line="480" w:lineRule="auto"/>
        <w:jc w:val="both"/>
        <w:rPr>
          <w:rFonts w:ascii="Arial" w:hAnsi="Arial" w:cs="Arial"/>
          <w:sz w:val="24"/>
          <w:szCs w:val="24"/>
        </w:rPr>
      </w:pPr>
    </w:p>
    <w:p w14:paraId="612E67CF" w14:textId="4C514C83" w:rsidR="005975BB" w:rsidRDefault="005975BB" w:rsidP="00862139">
      <w:pPr>
        <w:spacing w:line="480" w:lineRule="auto"/>
        <w:jc w:val="both"/>
        <w:rPr>
          <w:rFonts w:ascii="Arial" w:hAnsi="Arial" w:cs="Arial"/>
          <w:sz w:val="24"/>
          <w:szCs w:val="24"/>
        </w:rPr>
      </w:pPr>
    </w:p>
    <w:p w14:paraId="65F10F09" w14:textId="6BDAB71D" w:rsidR="005975BB" w:rsidRDefault="005975BB" w:rsidP="00862139">
      <w:pPr>
        <w:spacing w:line="480" w:lineRule="auto"/>
        <w:jc w:val="both"/>
        <w:rPr>
          <w:rFonts w:ascii="Arial" w:hAnsi="Arial" w:cs="Arial"/>
          <w:sz w:val="24"/>
          <w:szCs w:val="24"/>
        </w:rPr>
      </w:pPr>
    </w:p>
    <w:p w14:paraId="40AFD47D" w14:textId="34778A1D" w:rsidR="005975BB" w:rsidRDefault="005975BB" w:rsidP="00862139">
      <w:pPr>
        <w:spacing w:line="480" w:lineRule="auto"/>
        <w:jc w:val="both"/>
        <w:rPr>
          <w:rFonts w:ascii="Arial" w:hAnsi="Arial" w:cs="Arial"/>
          <w:sz w:val="24"/>
          <w:szCs w:val="24"/>
        </w:rPr>
      </w:pPr>
    </w:p>
    <w:p w14:paraId="68FA580B" w14:textId="67109235" w:rsidR="005975BB" w:rsidRDefault="005975BB" w:rsidP="00862139">
      <w:pPr>
        <w:spacing w:line="480" w:lineRule="auto"/>
        <w:jc w:val="both"/>
        <w:rPr>
          <w:rFonts w:ascii="Arial" w:hAnsi="Arial" w:cs="Arial"/>
          <w:sz w:val="24"/>
          <w:szCs w:val="24"/>
        </w:rPr>
      </w:pPr>
    </w:p>
    <w:p w14:paraId="391E857D" w14:textId="62F3CF05" w:rsidR="005975BB" w:rsidRDefault="005975BB" w:rsidP="00862139">
      <w:pPr>
        <w:spacing w:line="480" w:lineRule="auto"/>
        <w:jc w:val="both"/>
        <w:rPr>
          <w:rFonts w:ascii="Arial" w:hAnsi="Arial" w:cs="Arial"/>
          <w:sz w:val="24"/>
          <w:szCs w:val="24"/>
        </w:rPr>
      </w:pPr>
    </w:p>
    <w:p w14:paraId="3E59DF03" w14:textId="77777777" w:rsidR="005975BB" w:rsidRPr="00424846" w:rsidRDefault="005975BB" w:rsidP="00862139">
      <w:pPr>
        <w:spacing w:line="480" w:lineRule="auto"/>
        <w:jc w:val="both"/>
        <w:rPr>
          <w:rFonts w:ascii="Arial" w:hAnsi="Arial" w:cs="Arial"/>
          <w:sz w:val="24"/>
          <w:szCs w:val="24"/>
        </w:rPr>
      </w:pPr>
    </w:p>
    <w:p w14:paraId="0EAF90D7" w14:textId="299975CF" w:rsidR="008D5432" w:rsidRPr="005975BB" w:rsidRDefault="000166FB" w:rsidP="005975BB">
      <w:pPr>
        <w:spacing w:line="480" w:lineRule="auto"/>
        <w:jc w:val="center"/>
        <w:rPr>
          <w:rFonts w:ascii="Arial" w:hAnsi="Arial" w:cs="Arial"/>
          <w:b/>
          <w:bCs/>
          <w:sz w:val="24"/>
          <w:szCs w:val="24"/>
          <w:u w:val="single"/>
        </w:rPr>
      </w:pPr>
      <w:r w:rsidRPr="005975BB">
        <w:rPr>
          <w:rFonts w:ascii="Arial" w:hAnsi="Arial" w:cs="Arial"/>
          <w:b/>
          <w:bCs/>
          <w:sz w:val="24"/>
          <w:szCs w:val="24"/>
          <w:u w:val="single"/>
        </w:rPr>
        <w:lastRenderedPageBreak/>
        <w:t>Conclusion:</w:t>
      </w:r>
    </w:p>
    <w:p w14:paraId="589880E0" w14:textId="77777777" w:rsidR="0029357D" w:rsidRPr="00424846" w:rsidRDefault="0029357D" w:rsidP="00862139">
      <w:pPr>
        <w:spacing w:line="480" w:lineRule="auto"/>
        <w:jc w:val="both"/>
        <w:rPr>
          <w:rFonts w:ascii="Arial" w:hAnsi="Arial" w:cs="Arial"/>
          <w:sz w:val="24"/>
          <w:szCs w:val="24"/>
        </w:rPr>
      </w:pPr>
      <w:r w:rsidRPr="00424846">
        <w:rPr>
          <w:rFonts w:ascii="Arial" w:hAnsi="Arial" w:cs="Arial"/>
          <w:sz w:val="24"/>
          <w:szCs w:val="24"/>
        </w:rPr>
        <w:t xml:space="preserve">To revisit the thesis question again, should it continue to remain impermissible for the UK to use torture, as a means of obtaining information from suspected criminals?      A direct answer would be, yes, it should continue to remain impermissible.  </w:t>
      </w:r>
    </w:p>
    <w:p w14:paraId="6D94FE8B" w14:textId="77777777" w:rsidR="0029357D" w:rsidRPr="00424846" w:rsidRDefault="0029357D" w:rsidP="00862139">
      <w:pPr>
        <w:spacing w:line="480" w:lineRule="auto"/>
        <w:jc w:val="both"/>
        <w:rPr>
          <w:rFonts w:ascii="Arial" w:hAnsi="Arial" w:cs="Arial"/>
          <w:sz w:val="24"/>
          <w:szCs w:val="24"/>
        </w:rPr>
      </w:pPr>
      <w:r w:rsidRPr="00424846">
        <w:rPr>
          <w:rFonts w:ascii="Arial" w:hAnsi="Arial" w:cs="Arial"/>
          <w:sz w:val="24"/>
          <w:szCs w:val="24"/>
        </w:rPr>
        <w:t xml:space="preserve">When we consider the work in Part 1, historical perspective, the discussion there leans in favour of the thesis question, as it cites historical research and cases to portray the ineffectiveness of torture as a method to obtaining information, with Voltaire using the case of Jean to indicate this, or Geary discussing how torture being inflicted on a suspect is likely to produce inaccurate information, or Major General citing torture as a method ‘contrary to reason and humanity’. Further coupled with, the revelation that, it may not be a part of the royal prerogative and, although, was used in England, it never constituted an important aspect of evidential law, therefore, there is no rational reason, nor, traditional one to implement torture into the law today. This view is neatly encompassed by Lord Coke’s statement that, ‘‘there is no law [and has never been one] to warrant torture in this land, nor can they be justified by any prescription being so lately brought in’.     </w:t>
      </w:r>
    </w:p>
    <w:p w14:paraId="07F60D4A" w14:textId="76DCF66D" w:rsidR="0029357D" w:rsidRPr="00424846" w:rsidRDefault="0029357D" w:rsidP="00862139">
      <w:pPr>
        <w:spacing w:line="480" w:lineRule="auto"/>
        <w:jc w:val="both"/>
        <w:rPr>
          <w:rFonts w:ascii="Arial" w:hAnsi="Arial" w:cs="Arial"/>
          <w:sz w:val="24"/>
          <w:szCs w:val="24"/>
        </w:rPr>
      </w:pPr>
      <w:r w:rsidRPr="00424846">
        <w:rPr>
          <w:rFonts w:ascii="Arial" w:hAnsi="Arial" w:cs="Arial"/>
          <w:sz w:val="24"/>
          <w:szCs w:val="24"/>
        </w:rPr>
        <w:t xml:space="preserve">When we considering the work in Part 2, legal perspective, the law and courts, both national and international, is unwavering in its stance that torture is </w:t>
      </w:r>
      <w:proofErr w:type="gramStart"/>
      <w:r w:rsidRPr="00424846">
        <w:rPr>
          <w:rFonts w:ascii="Arial" w:hAnsi="Arial" w:cs="Arial"/>
          <w:sz w:val="24"/>
          <w:szCs w:val="24"/>
        </w:rPr>
        <w:t>absolutely</w:t>
      </w:r>
      <w:r w:rsidR="001760A5" w:rsidRPr="00424846">
        <w:rPr>
          <w:rFonts w:ascii="Arial" w:hAnsi="Arial" w:cs="Arial"/>
          <w:sz w:val="24"/>
          <w:szCs w:val="24"/>
        </w:rPr>
        <w:t xml:space="preserve"> </w:t>
      </w:r>
      <w:r w:rsidRPr="00424846">
        <w:rPr>
          <w:rFonts w:ascii="Arial" w:hAnsi="Arial" w:cs="Arial"/>
          <w:sz w:val="24"/>
          <w:szCs w:val="24"/>
        </w:rPr>
        <w:t>illegal</w:t>
      </w:r>
      <w:proofErr w:type="gramEnd"/>
      <w:r w:rsidRPr="00424846">
        <w:rPr>
          <w:rFonts w:ascii="Arial" w:hAnsi="Arial" w:cs="Arial"/>
          <w:sz w:val="24"/>
          <w:szCs w:val="24"/>
        </w:rPr>
        <w:t xml:space="preserve"> not matter the circumstances</w:t>
      </w:r>
      <w:r w:rsidR="00216E11" w:rsidRPr="00424846">
        <w:rPr>
          <w:rStyle w:val="FootnoteReference"/>
          <w:rFonts w:ascii="Arial" w:hAnsi="Arial" w:cs="Arial"/>
          <w:sz w:val="24"/>
          <w:szCs w:val="24"/>
        </w:rPr>
        <w:footnoteReference w:id="169"/>
      </w:r>
      <w:r w:rsidRPr="00424846">
        <w:rPr>
          <w:rFonts w:ascii="Arial" w:hAnsi="Arial" w:cs="Arial"/>
          <w:sz w:val="24"/>
          <w:szCs w:val="24"/>
        </w:rPr>
        <w:t xml:space="preserve"> . However, the formative exceptions which ‘excuse or justify’ state torture in s134 of CJA or in Art1.1, creates grey area which complicates the topic, by providing enough of a loophole that the state would never be able to formatively legislate it, but would be able to defend its use of torture based on these exceptions. As a result, international and national law should be reformed to exclude </w:t>
      </w:r>
      <w:r w:rsidRPr="00424846">
        <w:rPr>
          <w:rFonts w:ascii="Arial" w:hAnsi="Arial" w:cs="Arial"/>
          <w:sz w:val="24"/>
          <w:szCs w:val="24"/>
        </w:rPr>
        <w:lastRenderedPageBreak/>
        <w:t xml:space="preserve">any exceptions, and accurately reflect their ‘prohibition of torture’ stance.  Nevertheless, torture is unlikely to ever be legally accepted, even in TBS’s.     Lastly, part 3, theoretical perspective, discusses the various theoretical arguments in favour of and against the reinstatement of torture. However, concludes that even states that have a working model of torture, with a court and commission to regulate it, like the Landau model, falls easily into the unavoidable and inescapable slippery slope, which according to Statman and Perry, has drastic social impact and is likely to cause more harm than good, therefore, should continue to remain illegal.  </w:t>
      </w:r>
    </w:p>
    <w:p w14:paraId="3CA39C1A" w14:textId="2B542D5F" w:rsidR="008D5432" w:rsidRPr="00424846" w:rsidRDefault="0029357D" w:rsidP="00862139">
      <w:pPr>
        <w:spacing w:line="480" w:lineRule="auto"/>
        <w:jc w:val="both"/>
        <w:rPr>
          <w:rFonts w:ascii="Arial" w:hAnsi="Arial" w:cs="Arial"/>
          <w:sz w:val="24"/>
          <w:szCs w:val="24"/>
        </w:rPr>
      </w:pPr>
      <w:r w:rsidRPr="00424846">
        <w:rPr>
          <w:rFonts w:ascii="Arial" w:hAnsi="Arial" w:cs="Arial"/>
          <w:sz w:val="24"/>
          <w:szCs w:val="24"/>
        </w:rPr>
        <w:t>This topic of discussion proved itself to be an interesting and multi-faceted research topic, which, as of the last two decades, has become a provocative and charged topic of debate, so much so, it generated enough of an interest</w:t>
      </w:r>
      <w:r w:rsidR="00501E97" w:rsidRPr="00424846">
        <w:rPr>
          <w:rFonts w:ascii="Arial" w:hAnsi="Arial" w:cs="Arial"/>
          <w:sz w:val="24"/>
          <w:szCs w:val="24"/>
        </w:rPr>
        <w:t xml:space="preserve">, </w:t>
      </w:r>
      <w:r w:rsidRPr="00424846">
        <w:rPr>
          <w:rFonts w:ascii="Arial" w:hAnsi="Arial" w:cs="Arial"/>
          <w:sz w:val="24"/>
          <w:szCs w:val="24"/>
        </w:rPr>
        <w:t>in me</w:t>
      </w:r>
      <w:r w:rsidR="00501E97" w:rsidRPr="00424846">
        <w:rPr>
          <w:rFonts w:ascii="Arial" w:hAnsi="Arial" w:cs="Arial"/>
          <w:sz w:val="24"/>
          <w:szCs w:val="24"/>
        </w:rPr>
        <w:t xml:space="preserve">, </w:t>
      </w:r>
      <w:r w:rsidRPr="00424846">
        <w:rPr>
          <w:rFonts w:ascii="Arial" w:hAnsi="Arial" w:cs="Arial"/>
          <w:sz w:val="24"/>
          <w:szCs w:val="24"/>
        </w:rPr>
        <w:t xml:space="preserve">to compose this dissertation. However, </w:t>
      </w:r>
      <w:r w:rsidR="005B5173" w:rsidRPr="00424846">
        <w:rPr>
          <w:rFonts w:ascii="Arial" w:hAnsi="Arial" w:cs="Arial"/>
          <w:sz w:val="24"/>
          <w:szCs w:val="24"/>
        </w:rPr>
        <w:t xml:space="preserve">arguably, </w:t>
      </w:r>
      <w:r w:rsidRPr="00424846">
        <w:rPr>
          <w:rFonts w:ascii="Arial" w:hAnsi="Arial" w:cs="Arial"/>
          <w:sz w:val="24"/>
          <w:szCs w:val="24"/>
        </w:rPr>
        <w:t xml:space="preserve">rather pointless, as, despite its illegalisation, torture is still used by officials to extract information or confessions, therefore, is there any relevance in examining this topic? </w:t>
      </w:r>
      <w:r w:rsidR="005B5173" w:rsidRPr="00424846">
        <w:rPr>
          <w:rFonts w:ascii="Arial" w:hAnsi="Arial" w:cs="Arial"/>
          <w:sz w:val="24"/>
          <w:szCs w:val="24"/>
        </w:rPr>
        <w:t xml:space="preserve">    </w:t>
      </w:r>
      <w:r w:rsidRPr="00424846">
        <w:rPr>
          <w:rFonts w:ascii="Arial" w:hAnsi="Arial" w:cs="Arial"/>
          <w:sz w:val="24"/>
          <w:szCs w:val="24"/>
        </w:rPr>
        <w:t>I would argue, yes, because using it in secret, at least, indicates an understanding of, firstly, its abhorrence and, secondly, sets the precedent that when these states are challenged legally, the law stands on the side of the victim, not the state</w:t>
      </w:r>
      <w:r w:rsidR="00216E11" w:rsidRPr="00424846">
        <w:rPr>
          <w:rStyle w:val="FootnoteReference"/>
          <w:rFonts w:ascii="Arial" w:hAnsi="Arial" w:cs="Arial"/>
          <w:sz w:val="24"/>
          <w:szCs w:val="24"/>
        </w:rPr>
        <w:footnoteReference w:id="170"/>
      </w:r>
      <w:r w:rsidRPr="00424846">
        <w:rPr>
          <w:rFonts w:ascii="Arial" w:hAnsi="Arial" w:cs="Arial"/>
          <w:sz w:val="24"/>
          <w:szCs w:val="24"/>
        </w:rPr>
        <w:t xml:space="preserve"> .</w:t>
      </w:r>
    </w:p>
    <w:p w14:paraId="341DB2A0" w14:textId="725A7D10" w:rsidR="008D5432" w:rsidRPr="00424846" w:rsidRDefault="008D5432" w:rsidP="00424846">
      <w:pPr>
        <w:spacing w:line="480" w:lineRule="auto"/>
        <w:rPr>
          <w:rFonts w:ascii="Arial" w:hAnsi="Arial" w:cs="Arial"/>
          <w:sz w:val="24"/>
          <w:szCs w:val="24"/>
        </w:rPr>
      </w:pPr>
    </w:p>
    <w:p w14:paraId="147CBFF5" w14:textId="18CD5B05" w:rsidR="008D5432" w:rsidRDefault="008D5432" w:rsidP="00424846">
      <w:pPr>
        <w:spacing w:line="480" w:lineRule="auto"/>
        <w:rPr>
          <w:rFonts w:ascii="Arial" w:hAnsi="Arial" w:cs="Arial"/>
          <w:sz w:val="24"/>
          <w:szCs w:val="24"/>
        </w:rPr>
      </w:pPr>
    </w:p>
    <w:p w14:paraId="19299BFF" w14:textId="6C523C8F" w:rsidR="005975BB" w:rsidRDefault="005975BB" w:rsidP="00424846">
      <w:pPr>
        <w:spacing w:line="480" w:lineRule="auto"/>
        <w:rPr>
          <w:rFonts w:ascii="Arial" w:hAnsi="Arial" w:cs="Arial"/>
          <w:sz w:val="24"/>
          <w:szCs w:val="24"/>
        </w:rPr>
      </w:pPr>
    </w:p>
    <w:p w14:paraId="37046A7F" w14:textId="77777777" w:rsidR="005975BB" w:rsidRPr="00424846" w:rsidRDefault="005975BB" w:rsidP="00424846">
      <w:pPr>
        <w:spacing w:line="480" w:lineRule="auto"/>
        <w:rPr>
          <w:rFonts w:ascii="Arial" w:hAnsi="Arial" w:cs="Arial"/>
          <w:sz w:val="24"/>
          <w:szCs w:val="24"/>
        </w:rPr>
      </w:pPr>
    </w:p>
    <w:p w14:paraId="26537434" w14:textId="6A9DB240" w:rsidR="008D5432" w:rsidRPr="00424846" w:rsidRDefault="008D5432" w:rsidP="00424846">
      <w:pPr>
        <w:spacing w:line="480" w:lineRule="auto"/>
        <w:rPr>
          <w:rFonts w:ascii="Arial" w:hAnsi="Arial" w:cs="Arial"/>
          <w:sz w:val="24"/>
          <w:szCs w:val="24"/>
        </w:rPr>
      </w:pPr>
    </w:p>
    <w:p w14:paraId="31AB6672" w14:textId="77777777" w:rsidR="007C1275" w:rsidRPr="005975BB" w:rsidRDefault="007C1275" w:rsidP="005975BB">
      <w:pPr>
        <w:spacing w:line="480" w:lineRule="auto"/>
        <w:jc w:val="center"/>
        <w:rPr>
          <w:rFonts w:ascii="Arial" w:hAnsi="Arial" w:cs="Arial"/>
          <w:b/>
          <w:bCs/>
          <w:sz w:val="28"/>
          <w:szCs w:val="28"/>
          <w:u w:val="single"/>
        </w:rPr>
      </w:pPr>
      <w:r w:rsidRPr="005975BB">
        <w:rPr>
          <w:rFonts w:ascii="Arial" w:hAnsi="Arial" w:cs="Arial"/>
          <w:b/>
          <w:bCs/>
          <w:sz w:val="28"/>
          <w:szCs w:val="28"/>
          <w:u w:val="single"/>
        </w:rPr>
        <w:lastRenderedPageBreak/>
        <w:t>Bibliography</w:t>
      </w:r>
    </w:p>
    <w:p w14:paraId="1785E355" w14:textId="7A86CA23" w:rsidR="007C1275" w:rsidRPr="005975BB" w:rsidRDefault="007C1275" w:rsidP="005975BB">
      <w:pPr>
        <w:spacing w:line="480" w:lineRule="auto"/>
        <w:jc w:val="center"/>
        <w:rPr>
          <w:rFonts w:ascii="Arial" w:hAnsi="Arial" w:cs="Arial"/>
          <w:b/>
          <w:bCs/>
          <w:sz w:val="24"/>
          <w:szCs w:val="24"/>
          <w:u w:val="single"/>
        </w:rPr>
      </w:pPr>
      <w:r w:rsidRPr="005975BB">
        <w:rPr>
          <w:rFonts w:ascii="Arial" w:hAnsi="Arial" w:cs="Arial"/>
          <w:b/>
          <w:bCs/>
          <w:sz w:val="24"/>
          <w:szCs w:val="24"/>
          <w:u w:val="single"/>
        </w:rPr>
        <w:t>Primary:</w:t>
      </w:r>
    </w:p>
    <w:p w14:paraId="066EE509" w14:textId="77777777" w:rsidR="007C1275" w:rsidRPr="005975BB" w:rsidRDefault="007C1275" w:rsidP="00424846">
      <w:pPr>
        <w:spacing w:line="480" w:lineRule="auto"/>
        <w:rPr>
          <w:rFonts w:ascii="Arial" w:hAnsi="Arial" w:cs="Arial"/>
          <w:b/>
          <w:bCs/>
          <w:sz w:val="24"/>
          <w:szCs w:val="24"/>
          <w:u w:val="single"/>
        </w:rPr>
      </w:pPr>
      <w:r w:rsidRPr="005975BB">
        <w:rPr>
          <w:rFonts w:ascii="Arial" w:hAnsi="Arial" w:cs="Arial"/>
          <w:b/>
          <w:bCs/>
          <w:sz w:val="24"/>
          <w:szCs w:val="24"/>
          <w:u w:val="single"/>
        </w:rPr>
        <w:t xml:space="preserve">Statutes </w:t>
      </w:r>
    </w:p>
    <w:p w14:paraId="675543BD"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w:t>
      </w:r>
      <w:r w:rsidRPr="00424846">
        <w:rPr>
          <w:rFonts w:ascii="Arial" w:hAnsi="Arial" w:cs="Arial"/>
          <w:sz w:val="24"/>
          <w:szCs w:val="24"/>
        </w:rPr>
        <w:tab/>
        <w:t>Criminal Justice Act 2003, s134 (4)</w:t>
      </w:r>
    </w:p>
    <w:p w14:paraId="4D148FB6"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w:t>
      </w:r>
      <w:r w:rsidRPr="00424846">
        <w:rPr>
          <w:rFonts w:ascii="Arial" w:hAnsi="Arial" w:cs="Arial"/>
          <w:sz w:val="24"/>
          <w:szCs w:val="24"/>
        </w:rPr>
        <w:tab/>
        <w:t>English Bill of Rights 1689</w:t>
      </w:r>
    </w:p>
    <w:p w14:paraId="28DA2218"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3.</w:t>
      </w:r>
      <w:r w:rsidRPr="00424846">
        <w:rPr>
          <w:rFonts w:ascii="Arial" w:hAnsi="Arial" w:cs="Arial"/>
          <w:sz w:val="24"/>
          <w:szCs w:val="24"/>
        </w:rPr>
        <w:tab/>
        <w:t>European Convention of Human Rights 1950 , Article 3</w:t>
      </w:r>
    </w:p>
    <w:p w14:paraId="535AB88D"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4.</w:t>
      </w:r>
      <w:r w:rsidRPr="00424846">
        <w:rPr>
          <w:rFonts w:ascii="Arial" w:hAnsi="Arial" w:cs="Arial"/>
          <w:sz w:val="24"/>
          <w:szCs w:val="24"/>
        </w:rPr>
        <w:tab/>
        <w:t>European Convention of Human Rights, Article 6</w:t>
      </w:r>
    </w:p>
    <w:p w14:paraId="5A66DE26"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5.</w:t>
      </w:r>
      <w:r w:rsidRPr="00424846">
        <w:rPr>
          <w:rFonts w:ascii="Arial" w:hAnsi="Arial" w:cs="Arial"/>
          <w:sz w:val="24"/>
          <w:szCs w:val="24"/>
        </w:rPr>
        <w:tab/>
        <w:t>Geneva Convention 1949</w:t>
      </w:r>
    </w:p>
    <w:p w14:paraId="37654B58"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6.</w:t>
      </w:r>
      <w:r w:rsidRPr="00424846">
        <w:rPr>
          <w:rFonts w:ascii="Arial" w:hAnsi="Arial" w:cs="Arial"/>
          <w:sz w:val="24"/>
          <w:szCs w:val="24"/>
        </w:rPr>
        <w:tab/>
        <w:t>Human Rights Act 1998, s3</w:t>
      </w:r>
    </w:p>
    <w:p w14:paraId="44084C41"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7.</w:t>
      </w:r>
      <w:r w:rsidRPr="00424846">
        <w:rPr>
          <w:rFonts w:ascii="Arial" w:hAnsi="Arial" w:cs="Arial"/>
          <w:sz w:val="24"/>
          <w:szCs w:val="24"/>
        </w:rPr>
        <w:tab/>
        <w:t>International Covenant on Civil and Political Rights, Article 7, Part 3.</w:t>
      </w:r>
    </w:p>
    <w:p w14:paraId="0D6238ED"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8.</w:t>
      </w:r>
      <w:r w:rsidRPr="00424846">
        <w:rPr>
          <w:rFonts w:ascii="Arial" w:hAnsi="Arial" w:cs="Arial"/>
          <w:sz w:val="24"/>
          <w:szCs w:val="24"/>
        </w:rPr>
        <w:tab/>
        <w:t>Police and Criminal Evidence Act 1984, s76(2)a</w:t>
      </w:r>
    </w:p>
    <w:p w14:paraId="0C2E9160"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9.</w:t>
      </w:r>
      <w:r w:rsidRPr="00424846">
        <w:rPr>
          <w:rFonts w:ascii="Arial" w:hAnsi="Arial" w:cs="Arial"/>
          <w:sz w:val="24"/>
          <w:szCs w:val="24"/>
        </w:rPr>
        <w:tab/>
        <w:t>Universal Declaration of Human Rights 1948, Article 5.</w:t>
      </w:r>
    </w:p>
    <w:p w14:paraId="718BC8F8" w14:textId="77777777" w:rsidR="007C1275" w:rsidRPr="005975BB" w:rsidRDefault="007C1275" w:rsidP="00424846">
      <w:pPr>
        <w:spacing w:line="480" w:lineRule="auto"/>
        <w:rPr>
          <w:rFonts w:ascii="Arial" w:hAnsi="Arial" w:cs="Arial"/>
          <w:b/>
          <w:bCs/>
          <w:sz w:val="24"/>
          <w:szCs w:val="24"/>
          <w:u w:val="single"/>
        </w:rPr>
      </w:pPr>
      <w:r w:rsidRPr="005975BB">
        <w:rPr>
          <w:rFonts w:ascii="Arial" w:hAnsi="Arial" w:cs="Arial"/>
          <w:b/>
          <w:bCs/>
          <w:sz w:val="24"/>
          <w:szCs w:val="24"/>
          <w:u w:val="single"/>
        </w:rPr>
        <w:t xml:space="preserve">Cases </w:t>
      </w:r>
    </w:p>
    <w:p w14:paraId="1AA9BBAC"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w:t>
      </w:r>
      <w:r w:rsidRPr="00424846">
        <w:rPr>
          <w:rFonts w:ascii="Arial" w:hAnsi="Arial" w:cs="Arial"/>
          <w:sz w:val="24"/>
          <w:szCs w:val="24"/>
        </w:rPr>
        <w:tab/>
        <w:t>A and Ors v Secretary of State for the Home Department (No 2) [2005] UKHL 71</w:t>
      </w:r>
    </w:p>
    <w:p w14:paraId="7C916669"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w:t>
      </w:r>
      <w:r w:rsidRPr="00424846">
        <w:rPr>
          <w:rFonts w:ascii="Arial" w:hAnsi="Arial" w:cs="Arial"/>
          <w:sz w:val="24"/>
          <w:szCs w:val="24"/>
        </w:rPr>
        <w:tab/>
        <w:t>A and others v Secretary of State for Home Department [2004] UKHL 56</w:t>
      </w:r>
    </w:p>
    <w:p w14:paraId="7112BB6F"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3.</w:t>
      </w:r>
      <w:r w:rsidRPr="00424846">
        <w:rPr>
          <w:rFonts w:ascii="Arial" w:hAnsi="Arial" w:cs="Arial"/>
          <w:sz w:val="24"/>
          <w:szCs w:val="24"/>
        </w:rPr>
        <w:tab/>
      </w:r>
      <w:proofErr w:type="spellStart"/>
      <w:r w:rsidRPr="00424846">
        <w:rPr>
          <w:rFonts w:ascii="Arial" w:hAnsi="Arial" w:cs="Arial"/>
          <w:sz w:val="24"/>
          <w:szCs w:val="24"/>
        </w:rPr>
        <w:t>Abdelmalek</w:t>
      </w:r>
      <w:proofErr w:type="spellEnd"/>
      <w:r w:rsidRPr="00424846">
        <w:rPr>
          <w:rFonts w:ascii="Arial" w:hAnsi="Arial" w:cs="Arial"/>
          <w:sz w:val="24"/>
          <w:szCs w:val="24"/>
        </w:rPr>
        <w:t xml:space="preserve"> v Algeria CAT/C/52/D/402/2009</w:t>
      </w:r>
    </w:p>
    <w:p w14:paraId="76AD83BD"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4.</w:t>
      </w:r>
      <w:r w:rsidRPr="00424846">
        <w:rPr>
          <w:rFonts w:ascii="Arial" w:hAnsi="Arial" w:cs="Arial"/>
          <w:sz w:val="24"/>
          <w:szCs w:val="24"/>
        </w:rPr>
        <w:tab/>
        <w:t xml:space="preserve">Ali </w:t>
      </w:r>
      <w:proofErr w:type="spellStart"/>
      <w:r w:rsidRPr="00424846">
        <w:rPr>
          <w:rFonts w:ascii="Arial" w:hAnsi="Arial" w:cs="Arial"/>
          <w:sz w:val="24"/>
          <w:szCs w:val="24"/>
        </w:rPr>
        <w:t>Aarass</w:t>
      </w:r>
      <w:proofErr w:type="spellEnd"/>
      <w:r w:rsidRPr="00424846">
        <w:rPr>
          <w:rFonts w:ascii="Arial" w:hAnsi="Arial" w:cs="Arial"/>
          <w:sz w:val="24"/>
          <w:szCs w:val="24"/>
        </w:rPr>
        <w:t xml:space="preserve"> v Morocco CAT/C/52/D/447/2011</w:t>
      </w:r>
    </w:p>
    <w:p w14:paraId="79A3D195"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5.</w:t>
      </w:r>
      <w:r w:rsidRPr="00424846">
        <w:rPr>
          <w:rFonts w:ascii="Arial" w:hAnsi="Arial" w:cs="Arial"/>
          <w:sz w:val="24"/>
          <w:szCs w:val="24"/>
        </w:rPr>
        <w:tab/>
        <w:t>Chahal v United Kingdom [1996] 23 EHRR 413</w:t>
      </w:r>
    </w:p>
    <w:p w14:paraId="1CAC3EF0"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6.</w:t>
      </w:r>
      <w:r w:rsidRPr="00424846">
        <w:rPr>
          <w:rFonts w:ascii="Arial" w:hAnsi="Arial" w:cs="Arial"/>
          <w:sz w:val="24"/>
          <w:szCs w:val="24"/>
        </w:rPr>
        <w:tab/>
        <w:t>Committee against torture v State of Israel H.C.5100/94 (1999)</w:t>
      </w:r>
    </w:p>
    <w:p w14:paraId="16F72FC4"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lastRenderedPageBreak/>
        <w:t>7.</w:t>
      </w:r>
      <w:r w:rsidRPr="00424846">
        <w:rPr>
          <w:rFonts w:ascii="Arial" w:hAnsi="Arial" w:cs="Arial"/>
          <w:sz w:val="24"/>
          <w:szCs w:val="24"/>
        </w:rPr>
        <w:tab/>
        <w:t>El-Masri v Macedonia (App. 39630/09)</w:t>
      </w:r>
    </w:p>
    <w:p w14:paraId="23F03CFC"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8.</w:t>
      </w:r>
      <w:r w:rsidRPr="00424846">
        <w:rPr>
          <w:rFonts w:ascii="Arial" w:hAnsi="Arial" w:cs="Arial"/>
          <w:sz w:val="24"/>
          <w:szCs w:val="24"/>
        </w:rPr>
        <w:tab/>
        <w:t>Gafgen v Germany (App. No. 22978/05)</w:t>
      </w:r>
    </w:p>
    <w:p w14:paraId="52604DA9"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9.</w:t>
      </w:r>
      <w:r w:rsidRPr="00424846">
        <w:rPr>
          <w:rFonts w:ascii="Arial" w:hAnsi="Arial" w:cs="Arial"/>
          <w:sz w:val="24"/>
          <w:szCs w:val="24"/>
        </w:rPr>
        <w:tab/>
        <w:t>Garcia Ruiz v Spain (App No 30544/96)</w:t>
      </w:r>
    </w:p>
    <w:p w14:paraId="53903C7D"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10.</w:t>
      </w:r>
      <w:r w:rsidRPr="00424846">
        <w:rPr>
          <w:rFonts w:ascii="Arial" w:hAnsi="Arial" w:cs="Arial"/>
          <w:sz w:val="24"/>
          <w:szCs w:val="24"/>
        </w:rPr>
        <w:tab/>
        <w:t>Heaney v Ireland (Application no. 34720/97).</w:t>
      </w:r>
    </w:p>
    <w:p w14:paraId="5F6D570F"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11.</w:t>
      </w:r>
      <w:r w:rsidRPr="00424846">
        <w:rPr>
          <w:rFonts w:ascii="Arial" w:hAnsi="Arial" w:cs="Arial"/>
          <w:sz w:val="24"/>
          <w:szCs w:val="24"/>
        </w:rPr>
        <w:tab/>
        <w:t>Jalloh v Germany [2006] ECHR 721</w:t>
      </w:r>
    </w:p>
    <w:p w14:paraId="00B1B784"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12.</w:t>
      </w:r>
      <w:r w:rsidRPr="00424846">
        <w:rPr>
          <w:rFonts w:ascii="Arial" w:hAnsi="Arial" w:cs="Arial"/>
          <w:sz w:val="24"/>
          <w:szCs w:val="24"/>
        </w:rPr>
        <w:tab/>
        <w:t>Kitenge v Democratic Republic of Congo CCPR/C/110/D/1890/2009</w:t>
      </w:r>
    </w:p>
    <w:p w14:paraId="3CD9E6FF"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13.</w:t>
      </w:r>
      <w:r w:rsidRPr="00424846">
        <w:rPr>
          <w:rFonts w:ascii="Arial" w:hAnsi="Arial" w:cs="Arial"/>
          <w:sz w:val="24"/>
          <w:szCs w:val="24"/>
        </w:rPr>
        <w:tab/>
        <w:t>McMartin v. County of Los Angeles (1988) 202 Cal. App. 3d 853</w:t>
      </w:r>
    </w:p>
    <w:p w14:paraId="0E7F8647"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14.</w:t>
      </w:r>
      <w:r w:rsidRPr="00424846">
        <w:rPr>
          <w:rFonts w:ascii="Arial" w:hAnsi="Arial" w:cs="Arial"/>
          <w:sz w:val="24"/>
          <w:szCs w:val="24"/>
        </w:rPr>
        <w:tab/>
        <w:t>Omar Othman (Abu Qatada) V Secretary of state [2008] EWCA Civ. 290</w:t>
      </w:r>
    </w:p>
    <w:p w14:paraId="4D4F153A"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15.</w:t>
      </w:r>
      <w:r w:rsidRPr="00424846">
        <w:rPr>
          <w:rFonts w:ascii="Arial" w:hAnsi="Arial" w:cs="Arial"/>
          <w:sz w:val="24"/>
          <w:szCs w:val="24"/>
        </w:rPr>
        <w:tab/>
        <w:t>Pinochet [1998] UKHL 41</w:t>
      </w:r>
    </w:p>
    <w:p w14:paraId="6DEE3E30"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16.</w:t>
      </w:r>
      <w:r w:rsidRPr="00424846">
        <w:rPr>
          <w:rFonts w:ascii="Arial" w:hAnsi="Arial" w:cs="Arial"/>
          <w:sz w:val="24"/>
          <w:szCs w:val="24"/>
        </w:rPr>
        <w:tab/>
        <w:t>RB and Another v Secretary of State for the Home Department; OO (Jordan) v Same; MT (Algeria) v Same [2009] UKHL 10.</w:t>
      </w:r>
    </w:p>
    <w:p w14:paraId="67D4BBC2"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17.</w:t>
      </w:r>
      <w:r w:rsidRPr="00424846">
        <w:rPr>
          <w:rFonts w:ascii="Arial" w:hAnsi="Arial" w:cs="Arial"/>
          <w:sz w:val="24"/>
          <w:szCs w:val="24"/>
        </w:rPr>
        <w:tab/>
        <w:t>Republic of Ireland v The United Kingdom [1978] ECHR 1.</w:t>
      </w:r>
    </w:p>
    <w:p w14:paraId="6733F949"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18.</w:t>
      </w:r>
      <w:r w:rsidRPr="00424846">
        <w:rPr>
          <w:rFonts w:ascii="Arial" w:hAnsi="Arial" w:cs="Arial"/>
          <w:sz w:val="24"/>
          <w:szCs w:val="24"/>
        </w:rPr>
        <w:tab/>
      </w:r>
      <w:proofErr w:type="spellStart"/>
      <w:r w:rsidRPr="00424846">
        <w:rPr>
          <w:rFonts w:ascii="Arial" w:hAnsi="Arial" w:cs="Arial"/>
          <w:sz w:val="24"/>
          <w:szCs w:val="24"/>
        </w:rPr>
        <w:t>Rochin</w:t>
      </w:r>
      <w:proofErr w:type="spellEnd"/>
      <w:r w:rsidRPr="00424846">
        <w:rPr>
          <w:rFonts w:ascii="Arial" w:hAnsi="Arial" w:cs="Arial"/>
          <w:sz w:val="24"/>
          <w:szCs w:val="24"/>
        </w:rPr>
        <w:t xml:space="preserve"> v California (1952) 342 US 165.</w:t>
      </w:r>
    </w:p>
    <w:p w14:paraId="4FEF505E"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19.</w:t>
      </w:r>
      <w:r w:rsidRPr="00424846">
        <w:rPr>
          <w:rFonts w:ascii="Arial" w:hAnsi="Arial" w:cs="Arial"/>
          <w:sz w:val="24"/>
          <w:szCs w:val="24"/>
        </w:rPr>
        <w:tab/>
        <w:t>Ron Jones v Saudi Arabia [2006] 2 WLR 1424</w:t>
      </w:r>
    </w:p>
    <w:p w14:paraId="2AEB00BD"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20.</w:t>
      </w:r>
      <w:r w:rsidRPr="00424846">
        <w:rPr>
          <w:rFonts w:ascii="Arial" w:hAnsi="Arial" w:cs="Arial"/>
          <w:sz w:val="24"/>
          <w:szCs w:val="24"/>
        </w:rPr>
        <w:tab/>
        <w:t>Selmouni v France 00025803/94</w:t>
      </w:r>
    </w:p>
    <w:p w14:paraId="14881D4B"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21.</w:t>
      </w:r>
      <w:r w:rsidRPr="00424846">
        <w:rPr>
          <w:rFonts w:ascii="Arial" w:hAnsi="Arial" w:cs="Arial"/>
          <w:sz w:val="24"/>
          <w:szCs w:val="24"/>
        </w:rPr>
        <w:tab/>
      </w:r>
      <w:proofErr w:type="spellStart"/>
      <w:r w:rsidRPr="00424846">
        <w:rPr>
          <w:rFonts w:ascii="Arial" w:hAnsi="Arial" w:cs="Arial"/>
          <w:sz w:val="24"/>
          <w:szCs w:val="24"/>
        </w:rPr>
        <w:t>Songi</w:t>
      </w:r>
      <w:proofErr w:type="spellEnd"/>
      <w:r w:rsidRPr="00424846">
        <w:rPr>
          <w:rFonts w:ascii="Arial" w:hAnsi="Arial" w:cs="Arial"/>
          <w:sz w:val="24"/>
          <w:szCs w:val="24"/>
        </w:rPr>
        <w:t xml:space="preserve"> v Canada CAT/C/39/D/297/2006, para 6.14</w:t>
      </w:r>
    </w:p>
    <w:p w14:paraId="44D8766D"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22.</w:t>
      </w:r>
      <w:r w:rsidRPr="00424846">
        <w:rPr>
          <w:rFonts w:ascii="Arial" w:hAnsi="Arial" w:cs="Arial"/>
          <w:sz w:val="24"/>
          <w:szCs w:val="24"/>
        </w:rPr>
        <w:tab/>
      </w:r>
      <w:proofErr w:type="spellStart"/>
      <w:r w:rsidRPr="00424846">
        <w:rPr>
          <w:rFonts w:ascii="Arial" w:hAnsi="Arial" w:cs="Arial"/>
          <w:sz w:val="24"/>
          <w:szCs w:val="24"/>
        </w:rPr>
        <w:t>Tomasi</w:t>
      </w:r>
      <w:proofErr w:type="spellEnd"/>
      <w:r w:rsidRPr="00424846">
        <w:rPr>
          <w:rFonts w:ascii="Arial" w:hAnsi="Arial" w:cs="Arial"/>
          <w:sz w:val="24"/>
          <w:szCs w:val="24"/>
        </w:rPr>
        <w:t xml:space="preserve"> v France (12850/87) (1992) 15 EHRR 1</w:t>
      </w:r>
    </w:p>
    <w:p w14:paraId="3F440592"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23.</w:t>
      </w:r>
      <w:r w:rsidRPr="00424846">
        <w:rPr>
          <w:rFonts w:ascii="Arial" w:hAnsi="Arial" w:cs="Arial"/>
          <w:sz w:val="24"/>
          <w:szCs w:val="24"/>
        </w:rPr>
        <w:tab/>
      </w:r>
      <w:proofErr w:type="spellStart"/>
      <w:r w:rsidRPr="00424846">
        <w:rPr>
          <w:rFonts w:ascii="Arial" w:hAnsi="Arial" w:cs="Arial"/>
          <w:sz w:val="24"/>
          <w:szCs w:val="24"/>
        </w:rPr>
        <w:t>Tomasi</w:t>
      </w:r>
      <w:proofErr w:type="spellEnd"/>
      <w:r w:rsidRPr="00424846">
        <w:rPr>
          <w:rFonts w:ascii="Arial" w:hAnsi="Arial" w:cs="Arial"/>
          <w:sz w:val="24"/>
          <w:szCs w:val="24"/>
        </w:rPr>
        <w:t xml:space="preserve"> v France (App no 12850/87)</w:t>
      </w:r>
    </w:p>
    <w:p w14:paraId="2F9680F1"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24.</w:t>
      </w:r>
      <w:r w:rsidRPr="00424846">
        <w:rPr>
          <w:rFonts w:ascii="Arial" w:hAnsi="Arial" w:cs="Arial"/>
          <w:sz w:val="24"/>
          <w:szCs w:val="24"/>
        </w:rPr>
        <w:tab/>
        <w:t>Yuzepchuk v Belarus CCPR/C/112/D/1906/2009</w:t>
      </w:r>
    </w:p>
    <w:p w14:paraId="56530164" w14:textId="77777777" w:rsidR="007C1275" w:rsidRPr="00424846" w:rsidRDefault="007C1275" w:rsidP="00424846">
      <w:pPr>
        <w:spacing w:line="480" w:lineRule="auto"/>
        <w:rPr>
          <w:rFonts w:ascii="Arial" w:hAnsi="Arial" w:cs="Arial"/>
          <w:sz w:val="24"/>
          <w:szCs w:val="24"/>
        </w:rPr>
      </w:pPr>
    </w:p>
    <w:p w14:paraId="49693484" w14:textId="65549FE4" w:rsidR="007C1275" w:rsidRPr="005975BB" w:rsidRDefault="007C1275" w:rsidP="005975BB">
      <w:pPr>
        <w:spacing w:line="480" w:lineRule="auto"/>
        <w:jc w:val="center"/>
        <w:rPr>
          <w:rFonts w:ascii="Arial" w:hAnsi="Arial" w:cs="Arial"/>
          <w:b/>
          <w:bCs/>
          <w:sz w:val="24"/>
          <w:szCs w:val="24"/>
          <w:u w:val="single"/>
        </w:rPr>
      </w:pPr>
      <w:r w:rsidRPr="005975BB">
        <w:rPr>
          <w:rFonts w:ascii="Arial" w:hAnsi="Arial" w:cs="Arial"/>
          <w:b/>
          <w:bCs/>
          <w:sz w:val="24"/>
          <w:szCs w:val="24"/>
          <w:u w:val="single"/>
        </w:rPr>
        <w:lastRenderedPageBreak/>
        <w:t>Secondary:</w:t>
      </w:r>
    </w:p>
    <w:p w14:paraId="641087F7" w14:textId="77777777" w:rsidR="007C1275" w:rsidRPr="005975BB" w:rsidRDefault="007C1275" w:rsidP="00424846">
      <w:pPr>
        <w:spacing w:line="480" w:lineRule="auto"/>
        <w:rPr>
          <w:rFonts w:ascii="Arial" w:hAnsi="Arial" w:cs="Arial"/>
          <w:b/>
          <w:bCs/>
          <w:sz w:val="24"/>
          <w:szCs w:val="24"/>
          <w:u w:val="single"/>
        </w:rPr>
      </w:pPr>
      <w:r w:rsidRPr="005975BB">
        <w:rPr>
          <w:rFonts w:ascii="Arial" w:hAnsi="Arial" w:cs="Arial"/>
          <w:b/>
          <w:bCs/>
          <w:sz w:val="24"/>
          <w:szCs w:val="24"/>
          <w:u w:val="single"/>
        </w:rPr>
        <w:t xml:space="preserve">Books </w:t>
      </w:r>
    </w:p>
    <w:p w14:paraId="693CEAAA"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w:t>
      </w:r>
      <w:r w:rsidRPr="00424846">
        <w:rPr>
          <w:rFonts w:ascii="Arial" w:hAnsi="Arial" w:cs="Arial"/>
          <w:sz w:val="24"/>
          <w:szCs w:val="24"/>
        </w:rPr>
        <w:tab/>
        <w:t>Aldridge A., Voltaire and the Century of Light (first published 2015, Princeton University Press) 134</w:t>
      </w:r>
    </w:p>
    <w:p w14:paraId="61037717"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w:t>
      </w:r>
      <w:r w:rsidRPr="00424846">
        <w:rPr>
          <w:rFonts w:ascii="Arial" w:hAnsi="Arial" w:cs="Arial"/>
          <w:sz w:val="24"/>
          <w:szCs w:val="24"/>
        </w:rPr>
        <w:tab/>
        <w:t>Andrews W., Medieval Punishments (first published 2013, Skyhorse Publishing, Inc.)320</w:t>
      </w:r>
    </w:p>
    <w:p w14:paraId="5CFC8672"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3.</w:t>
      </w:r>
      <w:r w:rsidRPr="00424846">
        <w:rPr>
          <w:rFonts w:ascii="Arial" w:hAnsi="Arial" w:cs="Arial"/>
          <w:sz w:val="24"/>
          <w:szCs w:val="24"/>
        </w:rPr>
        <w:tab/>
        <w:t>Baccaria C., An essay on Crime and Punishments (first published 1767, J Almon) 161-170</w:t>
      </w:r>
    </w:p>
    <w:p w14:paraId="5EBE9C21"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4.</w:t>
      </w:r>
      <w:r w:rsidRPr="00424846">
        <w:rPr>
          <w:rFonts w:ascii="Arial" w:hAnsi="Arial" w:cs="Arial"/>
          <w:sz w:val="24"/>
          <w:szCs w:val="24"/>
        </w:rPr>
        <w:tab/>
        <w:t xml:space="preserve">Bagaric M &amp; Clarke J, Torture: When is the Unthinkable Morally Permissible (first published 2007, State University of New York Press) p.vii.  </w:t>
      </w:r>
    </w:p>
    <w:p w14:paraId="51787A39"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5.</w:t>
      </w:r>
      <w:r w:rsidRPr="00424846">
        <w:rPr>
          <w:rFonts w:ascii="Arial" w:hAnsi="Arial" w:cs="Arial"/>
          <w:sz w:val="24"/>
          <w:szCs w:val="24"/>
        </w:rPr>
        <w:tab/>
        <w:t>Bentham J., Means of Extraction for Extraordinary Occasions (first published 1839, W. Tait) 12.</w:t>
      </w:r>
    </w:p>
    <w:p w14:paraId="15F5CD8D"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6.</w:t>
      </w:r>
      <w:r w:rsidRPr="00424846">
        <w:rPr>
          <w:rFonts w:ascii="Arial" w:hAnsi="Arial" w:cs="Arial"/>
          <w:sz w:val="24"/>
          <w:szCs w:val="24"/>
        </w:rPr>
        <w:tab/>
        <w:t>Bien D., The Calas Affair (first published 1960, Princeton University Press) 23-47</w:t>
      </w:r>
    </w:p>
    <w:p w14:paraId="11DB62D5"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7.</w:t>
      </w:r>
      <w:r w:rsidRPr="00424846">
        <w:rPr>
          <w:rFonts w:ascii="Arial" w:hAnsi="Arial" w:cs="Arial"/>
          <w:sz w:val="24"/>
          <w:szCs w:val="24"/>
        </w:rPr>
        <w:tab/>
        <w:t>Borum R., Interview and interrogation: a perspective and update from the USA’ (first published 2013, Routledge) 123</w:t>
      </w:r>
    </w:p>
    <w:p w14:paraId="286B393B"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8.</w:t>
      </w:r>
      <w:r w:rsidRPr="00424846">
        <w:rPr>
          <w:rFonts w:ascii="Arial" w:hAnsi="Arial" w:cs="Arial"/>
          <w:sz w:val="24"/>
          <w:szCs w:val="24"/>
        </w:rPr>
        <w:tab/>
        <w:t>Dershowitz A., Torture Reasoning in S Levinson Torture: A Collection (first published 2004, OUP) 257-280</w:t>
      </w:r>
    </w:p>
    <w:p w14:paraId="347F5A96"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9.</w:t>
      </w:r>
      <w:r w:rsidRPr="00424846">
        <w:rPr>
          <w:rFonts w:ascii="Arial" w:hAnsi="Arial" w:cs="Arial"/>
          <w:sz w:val="24"/>
          <w:szCs w:val="24"/>
        </w:rPr>
        <w:tab/>
        <w:t>Dershowitz A., Why Terrorism Works (first published 2012, The New Republic) 21</w:t>
      </w:r>
    </w:p>
    <w:p w14:paraId="14C2F148"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10.</w:t>
      </w:r>
      <w:r w:rsidRPr="00424846">
        <w:rPr>
          <w:rFonts w:ascii="Arial" w:hAnsi="Arial" w:cs="Arial"/>
          <w:sz w:val="24"/>
          <w:szCs w:val="24"/>
        </w:rPr>
        <w:tab/>
        <w:t>Franklin, The Science of Conjecture: Evidence and Probability Before Pascal.(first published 2001, Baltimore: JHUP) 26-30</w:t>
      </w:r>
    </w:p>
    <w:p w14:paraId="15AF00E5"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lastRenderedPageBreak/>
        <w:t>11.</w:t>
      </w:r>
      <w:r w:rsidRPr="00424846">
        <w:rPr>
          <w:rFonts w:ascii="Arial" w:hAnsi="Arial" w:cs="Arial"/>
          <w:sz w:val="24"/>
          <w:szCs w:val="24"/>
        </w:rPr>
        <w:tab/>
        <w:t xml:space="preserve">Geary P. and Karras, Law and the Illicit in Medieval Europe(first published 2008, University of Pennsylvania Press 2013)80 </w:t>
      </w:r>
    </w:p>
    <w:p w14:paraId="75C20B55"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12.</w:t>
      </w:r>
      <w:r w:rsidRPr="00424846">
        <w:rPr>
          <w:rFonts w:ascii="Arial" w:hAnsi="Arial" w:cs="Arial"/>
          <w:sz w:val="24"/>
          <w:szCs w:val="24"/>
        </w:rPr>
        <w:tab/>
        <w:t>Ginbar Y., Why not torture terrorists? Moral, Practical and Legal perspectives (first published 2008, OUP) 4-27</w:t>
      </w:r>
    </w:p>
    <w:p w14:paraId="3039BA49"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13.</w:t>
      </w:r>
      <w:r w:rsidRPr="00424846">
        <w:rPr>
          <w:rFonts w:ascii="Arial" w:hAnsi="Arial" w:cs="Arial"/>
          <w:sz w:val="24"/>
          <w:szCs w:val="24"/>
        </w:rPr>
        <w:tab/>
      </w:r>
      <w:proofErr w:type="spellStart"/>
      <w:r w:rsidRPr="00424846">
        <w:rPr>
          <w:rFonts w:ascii="Arial" w:hAnsi="Arial" w:cs="Arial"/>
          <w:sz w:val="24"/>
          <w:szCs w:val="24"/>
        </w:rPr>
        <w:t>Janin</w:t>
      </w:r>
      <w:proofErr w:type="spellEnd"/>
      <w:r w:rsidRPr="00424846">
        <w:rPr>
          <w:rFonts w:ascii="Arial" w:hAnsi="Arial" w:cs="Arial"/>
          <w:sz w:val="24"/>
          <w:szCs w:val="24"/>
        </w:rPr>
        <w:t xml:space="preserve"> H., Medieval Justice: Cases and Laws in France and England (first published 2009, McFarland) 231</w:t>
      </w:r>
    </w:p>
    <w:p w14:paraId="31AC467B"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14.</w:t>
      </w:r>
      <w:r w:rsidRPr="00424846">
        <w:rPr>
          <w:rFonts w:ascii="Arial" w:hAnsi="Arial" w:cs="Arial"/>
          <w:sz w:val="24"/>
          <w:szCs w:val="24"/>
        </w:rPr>
        <w:tab/>
        <w:t xml:space="preserve">Jardine D., A Reading on the Use of Torture in the Criminal Law of England Previously to the </w:t>
      </w:r>
      <w:proofErr w:type="gramStart"/>
      <w:r w:rsidRPr="00424846">
        <w:rPr>
          <w:rFonts w:ascii="Arial" w:hAnsi="Arial" w:cs="Arial"/>
          <w:sz w:val="24"/>
          <w:szCs w:val="24"/>
        </w:rPr>
        <w:t>Common Wealth</w:t>
      </w:r>
      <w:proofErr w:type="gramEnd"/>
      <w:r w:rsidRPr="00424846">
        <w:rPr>
          <w:rFonts w:ascii="Arial" w:hAnsi="Arial" w:cs="Arial"/>
          <w:sz w:val="24"/>
          <w:szCs w:val="24"/>
        </w:rPr>
        <w:t xml:space="preserve"> (first published 1837, Baldwin and Cradock) 37</w:t>
      </w:r>
    </w:p>
    <w:p w14:paraId="3918ACDC"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15.</w:t>
      </w:r>
      <w:r w:rsidRPr="00424846">
        <w:rPr>
          <w:rFonts w:ascii="Arial" w:hAnsi="Arial" w:cs="Arial"/>
          <w:sz w:val="24"/>
          <w:szCs w:val="24"/>
        </w:rPr>
        <w:tab/>
        <w:t>Langbein J, Torture and the Law of Proof (first published 2006, University of Chicago Press) 4</w:t>
      </w:r>
    </w:p>
    <w:p w14:paraId="02AC350A"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16.</w:t>
      </w:r>
      <w:r w:rsidRPr="00424846">
        <w:rPr>
          <w:rFonts w:ascii="Arial" w:hAnsi="Arial" w:cs="Arial"/>
          <w:sz w:val="24"/>
          <w:szCs w:val="24"/>
        </w:rPr>
        <w:tab/>
        <w:t>Larteguy J., The Centurions (first published 2015, Penguin)</w:t>
      </w:r>
    </w:p>
    <w:p w14:paraId="237B6E31"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17.</w:t>
      </w:r>
      <w:r w:rsidRPr="00424846">
        <w:rPr>
          <w:rFonts w:ascii="Arial" w:hAnsi="Arial" w:cs="Arial"/>
          <w:sz w:val="24"/>
          <w:szCs w:val="24"/>
        </w:rPr>
        <w:tab/>
        <w:t>Lyons D, Forms and Limits of Utilitarianism(first published 1965, Clarendon Press)p.vii</w:t>
      </w:r>
    </w:p>
    <w:p w14:paraId="513F1210"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18.</w:t>
      </w:r>
      <w:r w:rsidRPr="00424846">
        <w:rPr>
          <w:rFonts w:ascii="Arial" w:hAnsi="Arial" w:cs="Arial"/>
          <w:sz w:val="24"/>
          <w:szCs w:val="24"/>
        </w:rPr>
        <w:tab/>
        <w:t>Morris E, Standard Operating Procedure: Inside Abi Ghraib (first published 2012, Pan Macmillan) 34</w:t>
      </w:r>
    </w:p>
    <w:p w14:paraId="7BA4CC7F"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19.</w:t>
      </w:r>
      <w:r w:rsidRPr="00424846">
        <w:rPr>
          <w:rFonts w:ascii="Arial" w:hAnsi="Arial" w:cs="Arial"/>
          <w:sz w:val="24"/>
          <w:szCs w:val="24"/>
        </w:rPr>
        <w:tab/>
        <w:t>Nowak M., Elizabeth McArthur, The United Nations Convention Against Torture: A commentary (first published 2008, OUP) 268</w:t>
      </w:r>
    </w:p>
    <w:p w14:paraId="7C46186C"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20.</w:t>
      </w:r>
      <w:r w:rsidRPr="00424846">
        <w:rPr>
          <w:rFonts w:ascii="Arial" w:hAnsi="Arial" w:cs="Arial"/>
          <w:sz w:val="24"/>
          <w:szCs w:val="24"/>
        </w:rPr>
        <w:tab/>
        <w:t xml:space="preserve">Rejali D., Torture and Democracy (first published 2009, Princeton University Press) </w:t>
      </w:r>
      <w:proofErr w:type="gramStart"/>
      <w:r w:rsidRPr="00424846">
        <w:rPr>
          <w:rFonts w:ascii="Arial" w:hAnsi="Arial" w:cs="Arial"/>
          <w:sz w:val="24"/>
          <w:szCs w:val="24"/>
        </w:rPr>
        <w:t>668;</w:t>
      </w:r>
      <w:proofErr w:type="gramEnd"/>
    </w:p>
    <w:p w14:paraId="2823E3D8"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21.</w:t>
      </w:r>
      <w:r w:rsidRPr="00424846">
        <w:rPr>
          <w:rFonts w:ascii="Arial" w:hAnsi="Arial" w:cs="Arial"/>
          <w:sz w:val="24"/>
          <w:szCs w:val="24"/>
        </w:rPr>
        <w:tab/>
        <w:t>Scott, The History of torture (first published 201, Routledge) 256</w:t>
      </w:r>
    </w:p>
    <w:p w14:paraId="03E88BA5"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22.</w:t>
      </w:r>
      <w:r w:rsidRPr="00424846">
        <w:rPr>
          <w:rFonts w:ascii="Arial" w:hAnsi="Arial" w:cs="Arial"/>
          <w:sz w:val="24"/>
          <w:szCs w:val="24"/>
        </w:rPr>
        <w:tab/>
      </w:r>
      <w:proofErr w:type="spellStart"/>
      <w:r w:rsidRPr="00424846">
        <w:rPr>
          <w:rFonts w:ascii="Arial" w:hAnsi="Arial" w:cs="Arial"/>
          <w:sz w:val="24"/>
          <w:szCs w:val="24"/>
        </w:rPr>
        <w:t>Sifris</w:t>
      </w:r>
      <w:proofErr w:type="spellEnd"/>
      <w:r w:rsidRPr="00424846">
        <w:rPr>
          <w:rFonts w:ascii="Arial" w:hAnsi="Arial" w:cs="Arial"/>
          <w:sz w:val="24"/>
          <w:szCs w:val="24"/>
        </w:rPr>
        <w:t>, Freedom, Torture and International Human Rights: Challenging the Masculinisation of Torture. (first published 2013, Routledge). p. 145.</w:t>
      </w:r>
    </w:p>
    <w:p w14:paraId="0B41F8EF"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lastRenderedPageBreak/>
        <w:t>23.</w:t>
      </w:r>
      <w:r w:rsidRPr="00424846">
        <w:rPr>
          <w:rFonts w:ascii="Arial" w:hAnsi="Arial" w:cs="Arial"/>
          <w:sz w:val="24"/>
          <w:szCs w:val="24"/>
        </w:rPr>
        <w:tab/>
        <w:t>Walzer M., ‘Political Action: The Problem of Dirty Hands’ (first published 2006, OUP) 66</w:t>
      </w:r>
    </w:p>
    <w:p w14:paraId="7CF7A0F1"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24.</w:t>
      </w:r>
      <w:r w:rsidRPr="00424846">
        <w:rPr>
          <w:rFonts w:ascii="Arial" w:hAnsi="Arial" w:cs="Arial"/>
          <w:sz w:val="24"/>
          <w:szCs w:val="24"/>
        </w:rPr>
        <w:tab/>
        <w:t>Webb S., A History of Torture in Britain (first published 2019, Sword Books Limited) 33</w:t>
      </w:r>
    </w:p>
    <w:p w14:paraId="42E63FA0"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25.</w:t>
      </w:r>
      <w:r w:rsidRPr="00424846">
        <w:rPr>
          <w:rFonts w:ascii="Arial" w:hAnsi="Arial" w:cs="Arial"/>
          <w:sz w:val="24"/>
          <w:szCs w:val="24"/>
        </w:rPr>
        <w:tab/>
      </w:r>
      <w:proofErr w:type="spellStart"/>
      <w:r w:rsidRPr="00424846">
        <w:rPr>
          <w:rFonts w:ascii="Arial" w:hAnsi="Arial" w:cs="Arial"/>
          <w:sz w:val="24"/>
          <w:szCs w:val="24"/>
        </w:rPr>
        <w:t>Wisnewski</w:t>
      </w:r>
      <w:proofErr w:type="spellEnd"/>
      <w:r w:rsidRPr="00424846">
        <w:rPr>
          <w:rFonts w:ascii="Arial" w:hAnsi="Arial" w:cs="Arial"/>
          <w:sz w:val="24"/>
          <w:szCs w:val="24"/>
        </w:rPr>
        <w:t xml:space="preserve"> J., Understanding torture (first published 2010, Edinburgh University Press) 223</w:t>
      </w:r>
    </w:p>
    <w:p w14:paraId="49720D70" w14:textId="3F764D59"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26.</w:t>
      </w:r>
      <w:r w:rsidRPr="00424846">
        <w:rPr>
          <w:rFonts w:ascii="Arial" w:hAnsi="Arial" w:cs="Arial"/>
          <w:sz w:val="24"/>
          <w:szCs w:val="24"/>
        </w:rPr>
        <w:tab/>
        <w:t>Zimbardo P., The Lucifer Effect: Understanding How Good People Turn Evil (first published 2008, Random House) 3-6</w:t>
      </w:r>
    </w:p>
    <w:p w14:paraId="377A6891" w14:textId="20059887" w:rsidR="007C1275" w:rsidRPr="005975BB" w:rsidRDefault="007C1275" w:rsidP="00424846">
      <w:pPr>
        <w:spacing w:line="480" w:lineRule="auto"/>
        <w:rPr>
          <w:rFonts w:ascii="Arial" w:hAnsi="Arial" w:cs="Arial"/>
          <w:b/>
          <w:bCs/>
          <w:sz w:val="24"/>
          <w:szCs w:val="24"/>
          <w:u w:val="single"/>
        </w:rPr>
      </w:pPr>
      <w:r w:rsidRPr="005975BB">
        <w:rPr>
          <w:rFonts w:ascii="Arial" w:hAnsi="Arial" w:cs="Arial"/>
          <w:b/>
          <w:bCs/>
          <w:sz w:val="24"/>
          <w:szCs w:val="24"/>
          <w:u w:val="single"/>
        </w:rPr>
        <w:t>Journal Articles</w:t>
      </w:r>
    </w:p>
    <w:p w14:paraId="6E0A4536"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w:t>
      </w:r>
      <w:r w:rsidRPr="00424846">
        <w:rPr>
          <w:rFonts w:ascii="Arial" w:hAnsi="Arial" w:cs="Arial"/>
          <w:sz w:val="24"/>
          <w:szCs w:val="24"/>
        </w:rPr>
        <w:tab/>
        <w:t>Bates E., ‘The Al-</w:t>
      </w:r>
      <w:proofErr w:type="spellStart"/>
      <w:r w:rsidRPr="00424846">
        <w:rPr>
          <w:rFonts w:ascii="Arial" w:hAnsi="Arial" w:cs="Arial"/>
          <w:sz w:val="24"/>
          <w:szCs w:val="24"/>
        </w:rPr>
        <w:t>Adsani</w:t>
      </w:r>
      <w:proofErr w:type="spellEnd"/>
      <w:r w:rsidRPr="00424846">
        <w:rPr>
          <w:rFonts w:ascii="Arial" w:hAnsi="Arial" w:cs="Arial"/>
          <w:sz w:val="24"/>
          <w:szCs w:val="24"/>
        </w:rPr>
        <w:t xml:space="preserve"> Case, State Immunity and the International Legal Prohibition on Torture’ (2003) 193 (3) </w:t>
      </w:r>
      <w:proofErr w:type="spellStart"/>
      <w:r w:rsidRPr="00424846">
        <w:rPr>
          <w:rFonts w:ascii="Arial" w:hAnsi="Arial" w:cs="Arial"/>
          <w:sz w:val="24"/>
          <w:szCs w:val="24"/>
        </w:rPr>
        <w:t>HeinOnline</w:t>
      </w:r>
      <w:proofErr w:type="spellEnd"/>
      <w:r w:rsidRPr="00424846">
        <w:rPr>
          <w:rFonts w:ascii="Arial" w:hAnsi="Arial" w:cs="Arial"/>
          <w:sz w:val="24"/>
          <w:szCs w:val="24"/>
        </w:rPr>
        <w:t xml:space="preserve"> https://heinonline.org/HOL/LandingPage?handle=hein.journals/hrlr3&amp;div=17&amp;id=&amp;page= accessed 25 March 2020</w:t>
      </w:r>
    </w:p>
    <w:p w14:paraId="1B0E0DD9"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2.</w:t>
      </w:r>
      <w:r w:rsidRPr="00424846">
        <w:rPr>
          <w:rFonts w:ascii="Arial" w:hAnsi="Arial" w:cs="Arial"/>
          <w:sz w:val="24"/>
          <w:szCs w:val="24"/>
        </w:rPr>
        <w:tab/>
        <w:t xml:space="preserve">Belvisi </w:t>
      </w:r>
      <w:proofErr w:type="spellStart"/>
      <w:r w:rsidRPr="00424846">
        <w:rPr>
          <w:rFonts w:ascii="Arial" w:hAnsi="Arial" w:cs="Arial"/>
          <w:sz w:val="24"/>
          <w:szCs w:val="24"/>
        </w:rPr>
        <w:t>F.,’The</w:t>
      </w:r>
      <w:proofErr w:type="spellEnd"/>
      <w:r w:rsidRPr="00424846">
        <w:rPr>
          <w:rFonts w:ascii="Arial" w:hAnsi="Arial" w:cs="Arial"/>
          <w:sz w:val="24"/>
          <w:szCs w:val="24"/>
        </w:rPr>
        <w:t xml:space="preserve"> Ticking Bomb Scenario as a moral scandal [2009] Studies on Political Sociology 69</w:t>
      </w:r>
    </w:p>
    <w:p w14:paraId="05360099"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3.</w:t>
      </w:r>
      <w:r w:rsidRPr="00424846">
        <w:rPr>
          <w:rFonts w:ascii="Arial" w:hAnsi="Arial" w:cs="Arial"/>
          <w:sz w:val="24"/>
          <w:szCs w:val="24"/>
        </w:rPr>
        <w:tab/>
        <w:t>Garven, ‘Theory, “The effect of interviewing techniques from the McMartin Preschool case.’ [1998] American Psychological Association 347</w:t>
      </w:r>
    </w:p>
    <w:p w14:paraId="03C19AFE"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4.</w:t>
      </w:r>
      <w:r w:rsidRPr="00424846">
        <w:rPr>
          <w:rFonts w:ascii="Arial" w:hAnsi="Arial" w:cs="Arial"/>
          <w:sz w:val="24"/>
          <w:szCs w:val="24"/>
        </w:rPr>
        <w:tab/>
      </w:r>
      <w:proofErr w:type="spellStart"/>
      <w:r w:rsidRPr="00424846">
        <w:rPr>
          <w:rFonts w:ascii="Arial" w:hAnsi="Arial" w:cs="Arial"/>
          <w:sz w:val="24"/>
          <w:szCs w:val="24"/>
        </w:rPr>
        <w:t>Gaskarth</w:t>
      </w:r>
      <w:proofErr w:type="spellEnd"/>
      <w:r w:rsidRPr="00424846">
        <w:rPr>
          <w:rFonts w:ascii="Arial" w:hAnsi="Arial" w:cs="Arial"/>
          <w:sz w:val="24"/>
          <w:szCs w:val="24"/>
        </w:rPr>
        <w:t xml:space="preserve"> J. , ‘The UK’s complicity in torture in the global war on terrorism’ (2011) 187 International Affairs 945-964</w:t>
      </w:r>
    </w:p>
    <w:p w14:paraId="3563B899"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5.</w:t>
      </w:r>
      <w:r w:rsidRPr="00424846">
        <w:rPr>
          <w:rFonts w:ascii="Arial" w:hAnsi="Arial" w:cs="Arial"/>
          <w:sz w:val="24"/>
          <w:szCs w:val="24"/>
        </w:rPr>
        <w:tab/>
      </w:r>
      <w:proofErr w:type="spellStart"/>
      <w:r w:rsidRPr="00424846">
        <w:rPr>
          <w:rFonts w:ascii="Arial" w:hAnsi="Arial" w:cs="Arial"/>
          <w:sz w:val="24"/>
          <w:szCs w:val="24"/>
        </w:rPr>
        <w:t>Giuffré</w:t>
      </w:r>
      <w:proofErr w:type="spellEnd"/>
      <w:r w:rsidRPr="00424846">
        <w:rPr>
          <w:rFonts w:ascii="Arial" w:hAnsi="Arial" w:cs="Arial"/>
          <w:sz w:val="24"/>
          <w:szCs w:val="24"/>
        </w:rPr>
        <w:t xml:space="preserve"> M. , ‘An Appraisal of Diplomatic Assurances One Year after Othman (Abu Qatada) v United Kingdom’(2012) 2(2) International Human Rights Law Review 266,293</w:t>
      </w:r>
    </w:p>
    <w:p w14:paraId="4DAD9382"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lastRenderedPageBreak/>
        <w:t>6.</w:t>
      </w:r>
      <w:r w:rsidRPr="00424846">
        <w:rPr>
          <w:rFonts w:ascii="Arial" w:hAnsi="Arial" w:cs="Arial"/>
          <w:sz w:val="24"/>
          <w:szCs w:val="24"/>
        </w:rPr>
        <w:tab/>
        <w:t>Glancy J., ‘Torture: Flesh, Truth, and the Fourth Gospel’ [2005]  13(2) Brill &lt; https://brill.com/view/journals/bi/13/2/article-p107_1.xml&gt; accessed 25 March 2020</w:t>
      </w:r>
    </w:p>
    <w:p w14:paraId="1700B879"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7.</w:t>
      </w:r>
      <w:r w:rsidRPr="00424846">
        <w:rPr>
          <w:rFonts w:ascii="Arial" w:hAnsi="Arial" w:cs="Arial"/>
          <w:sz w:val="24"/>
          <w:szCs w:val="24"/>
        </w:rPr>
        <w:tab/>
        <w:t>Greer S., ‘Is the Prohibition against Torture, Cruel, Inhuman and Degrading Treatment Really ‘Absolute’ in International Human Rights Law?’  (2015) 15(1) Human Rights Review 101,137</w:t>
      </w:r>
    </w:p>
    <w:p w14:paraId="11B1B00F"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8.</w:t>
      </w:r>
      <w:r w:rsidRPr="00424846">
        <w:rPr>
          <w:rFonts w:ascii="Arial" w:hAnsi="Arial" w:cs="Arial"/>
          <w:sz w:val="24"/>
          <w:szCs w:val="24"/>
        </w:rPr>
        <w:tab/>
      </w:r>
      <w:proofErr w:type="spellStart"/>
      <w:r w:rsidRPr="00424846">
        <w:rPr>
          <w:rFonts w:ascii="Arial" w:hAnsi="Arial" w:cs="Arial"/>
          <w:sz w:val="24"/>
          <w:szCs w:val="24"/>
        </w:rPr>
        <w:t>Grozdanova</w:t>
      </w:r>
      <w:proofErr w:type="spellEnd"/>
      <w:r w:rsidRPr="00424846">
        <w:rPr>
          <w:rFonts w:ascii="Arial" w:hAnsi="Arial" w:cs="Arial"/>
          <w:sz w:val="24"/>
          <w:szCs w:val="24"/>
        </w:rPr>
        <w:t xml:space="preserve"> R., ‘The UK and Diplomatic Assurance: A minimalist Approach towards the anti-torture norm ’ [2015] International Criminal Law Review 369</w:t>
      </w:r>
    </w:p>
    <w:p w14:paraId="68BBE878"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9.</w:t>
      </w:r>
      <w:r w:rsidRPr="00424846">
        <w:rPr>
          <w:rFonts w:ascii="Arial" w:hAnsi="Arial" w:cs="Arial"/>
          <w:sz w:val="24"/>
          <w:szCs w:val="24"/>
        </w:rPr>
        <w:tab/>
        <w:t>Jones O., ‘Jones v Ministry of Interior of Kingdom of Saudi Arabia: An exercise in interpretation’(2007) 175 Singapore Yearbook of International Law and Contributors 163,175</w:t>
      </w:r>
    </w:p>
    <w:p w14:paraId="0BD22634"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10.</w:t>
      </w:r>
      <w:r w:rsidRPr="00424846">
        <w:rPr>
          <w:rFonts w:ascii="Arial" w:hAnsi="Arial" w:cs="Arial"/>
          <w:sz w:val="24"/>
          <w:szCs w:val="24"/>
        </w:rPr>
        <w:tab/>
        <w:t>Martin OV., ‘ An Evaluation of the Use of Memorandums of Understanding in the Removal of Terror Suspects and the Prohibition against Non-Refoulment’ (2007) &lt; https://heinonline.org/HOL/LandingPage?handle=hein.journals/hiblj7&amp;div=7&amp;id=&amp;page= &gt;accessed 25 March 2020</w:t>
      </w:r>
    </w:p>
    <w:p w14:paraId="18104DDE"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11.</w:t>
      </w:r>
      <w:r w:rsidRPr="00424846">
        <w:rPr>
          <w:rFonts w:ascii="Arial" w:hAnsi="Arial" w:cs="Arial"/>
          <w:sz w:val="24"/>
          <w:szCs w:val="24"/>
        </w:rPr>
        <w:tab/>
        <w:t>Parry, ‘Torture warrants and the Rule of Law’ [2008] Albany Law Review 885</w:t>
      </w:r>
    </w:p>
    <w:p w14:paraId="4488013C" w14:textId="77777777" w:rsidR="007C1275" w:rsidRPr="00424846" w:rsidRDefault="007C1275" w:rsidP="00424846">
      <w:pPr>
        <w:spacing w:line="480" w:lineRule="auto"/>
        <w:rPr>
          <w:rFonts w:ascii="Arial" w:hAnsi="Arial" w:cs="Arial"/>
          <w:sz w:val="24"/>
          <w:szCs w:val="24"/>
        </w:rPr>
      </w:pPr>
      <w:r w:rsidRPr="00424846">
        <w:rPr>
          <w:rFonts w:ascii="Arial" w:hAnsi="Arial" w:cs="Arial"/>
          <w:sz w:val="24"/>
          <w:szCs w:val="24"/>
        </w:rPr>
        <w:t>12.</w:t>
      </w:r>
      <w:r w:rsidRPr="00424846">
        <w:rPr>
          <w:rFonts w:ascii="Arial" w:hAnsi="Arial" w:cs="Arial"/>
          <w:sz w:val="24"/>
          <w:szCs w:val="24"/>
        </w:rPr>
        <w:tab/>
        <w:t>PHR Toolkits, ‘Prohibition of torture in International Law’ (PHR Toolkits, 1 May 2010) &lt; http://phrtoolkits.org/toolkits/istanbul-protocol-model-medical-curriculum/module-1-international-legal-standards-overview/torture/prohibition-of-torture-in-international-law/ &gt; accessed 26 March 2020</w:t>
      </w:r>
    </w:p>
    <w:p w14:paraId="4C9FE23F" w14:textId="03FC0CAB" w:rsidR="005975BB" w:rsidRPr="00424846" w:rsidRDefault="007C1275" w:rsidP="00424846">
      <w:pPr>
        <w:spacing w:line="480" w:lineRule="auto"/>
        <w:rPr>
          <w:rFonts w:ascii="Arial" w:hAnsi="Arial" w:cs="Arial"/>
          <w:sz w:val="24"/>
          <w:szCs w:val="24"/>
        </w:rPr>
      </w:pPr>
      <w:r w:rsidRPr="00424846">
        <w:rPr>
          <w:rFonts w:ascii="Arial" w:hAnsi="Arial" w:cs="Arial"/>
          <w:sz w:val="24"/>
          <w:szCs w:val="24"/>
        </w:rPr>
        <w:t>13.</w:t>
      </w:r>
      <w:r w:rsidRPr="00424846">
        <w:rPr>
          <w:rFonts w:ascii="Arial" w:hAnsi="Arial" w:cs="Arial"/>
          <w:sz w:val="24"/>
          <w:szCs w:val="24"/>
        </w:rPr>
        <w:tab/>
        <w:t xml:space="preserve">Posner </w:t>
      </w:r>
      <w:proofErr w:type="spellStart"/>
      <w:r w:rsidRPr="00424846">
        <w:rPr>
          <w:rFonts w:ascii="Arial" w:hAnsi="Arial" w:cs="Arial"/>
          <w:sz w:val="24"/>
          <w:szCs w:val="24"/>
        </w:rPr>
        <w:t>R.,‘The</w:t>
      </w:r>
      <w:proofErr w:type="spellEnd"/>
      <w:r w:rsidRPr="00424846">
        <w:rPr>
          <w:rFonts w:ascii="Arial" w:hAnsi="Arial" w:cs="Arial"/>
          <w:sz w:val="24"/>
          <w:szCs w:val="24"/>
        </w:rPr>
        <w:t xml:space="preserve"> New Republic’ [1986] Harvard Law Review 44</w:t>
      </w:r>
    </w:p>
    <w:p w14:paraId="0D2B283B" w14:textId="77777777" w:rsidR="00270092" w:rsidRDefault="00270092" w:rsidP="00424846">
      <w:pPr>
        <w:spacing w:line="480" w:lineRule="auto"/>
        <w:rPr>
          <w:rFonts w:ascii="Arial" w:hAnsi="Arial" w:cs="Arial"/>
          <w:b/>
          <w:bCs/>
          <w:sz w:val="24"/>
          <w:szCs w:val="24"/>
          <w:u w:val="single"/>
        </w:rPr>
      </w:pPr>
    </w:p>
    <w:p w14:paraId="310B9941" w14:textId="77777777" w:rsidR="00270092" w:rsidRDefault="00270092" w:rsidP="00424846">
      <w:pPr>
        <w:spacing w:line="480" w:lineRule="auto"/>
        <w:rPr>
          <w:rFonts w:ascii="Arial" w:hAnsi="Arial" w:cs="Arial"/>
          <w:b/>
          <w:bCs/>
          <w:sz w:val="24"/>
          <w:szCs w:val="24"/>
          <w:u w:val="single"/>
        </w:rPr>
      </w:pPr>
    </w:p>
    <w:p w14:paraId="63AD4CD1" w14:textId="64F7954A" w:rsidR="007C1275" w:rsidRPr="005975BB" w:rsidRDefault="007C1275" w:rsidP="00424846">
      <w:pPr>
        <w:spacing w:line="480" w:lineRule="auto"/>
        <w:rPr>
          <w:rFonts w:ascii="Arial" w:hAnsi="Arial" w:cs="Arial"/>
          <w:b/>
          <w:bCs/>
          <w:sz w:val="24"/>
          <w:szCs w:val="24"/>
          <w:u w:val="single"/>
        </w:rPr>
      </w:pPr>
      <w:r w:rsidRPr="005975BB">
        <w:rPr>
          <w:rFonts w:ascii="Arial" w:hAnsi="Arial" w:cs="Arial"/>
          <w:b/>
          <w:bCs/>
          <w:sz w:val="24"/>
          <w:szCs w:val="24"/>
          <w:u w:val="single"/>
        </w:rPr>
        <w:lastRenderedPageBreak/>
        <w:t xml:space="preserve">Government </w:t>
      </w:r>
      <w:r w:rsidR="00EC1976">
        <w:rPr>
          <w:rFonts w:ascii="Arial" w:hAnsi="Arial" w:cs="Arial"/>
          <w:b/>
          <w:bCs/>
          <w:sz w:val="24"/>
          <w:szCs w:val="24"/>
          <w:u w:val="single"/>
        </w:rPr>
        <w:t>R</w:t>
      </w:r>
      <w:r w:rsidRPr="005975BB">
        <w:rPr>
          <w:rFonts w:ascii="Arial" w:hAnsi="Arial" w:cs="Arial"/>
          <w:b/>
          <w:bCs/>
          <w:sz w:val="24"/>
          <w:szCs w:val="24"/>
          <w:u w:val="single"/>
        </w:rPr>
        <w:t xml:space="preserve">eports: </w:t>
      </w:r>
    </w:p>
    <w:p w14:paraId="629210CB" w14:textId="5821D8B2" w:rsidR="005975BB" w:rsidRPr="005975BB" w:rsidRDefault="007C1275" w:rsidP="00424846">
      <w:pPr>
        <w:pStyle w:val="ListParagraph"/>
        <w:numPr>
          <w:ilvl w:val="0"/>
          <w:numId w:val="16"/>
        </w:numPr>
        <w:spacing w:line="480" w:lineRule="auto"/>
        <w:rPr>
          <w:rFonts w:ascii="Arial" w:hAnsi="Arial" w:cs="Arial"/>
          <w:sz w:val="24"/>
          <w:szCs w:val="24"/>
        </w:rPr>
      </w:pPr>
      <w:r w:rsidRPr="005975BB">
        <w:rPr>
          <w:rFonts w:ascii="Arial" w:hAnsi="Arial" w:cs="Arial"/>
          <w:sz w:val="24"/>
          <w:szCs w:val="24"/>
        </w:rPr>
        <w:t>Horne A. and Gower M., ‘Deportation of individuals who may face a risk of torture ’ [2012] House of Commons, Home Affairs Section 1-5</w:t>
      </w:r>
    </w:p>
    <w:p w14:paraId="75EBE083" w14:textId="77777777" w:rsidR="007C1275" w:rsidRPr="005975BB" w:rsidRDefault="007C1275" w:rsidP="00424846">
      <w:pPr>
        <w:spacing w:line="480" w:lineRule="auto"/>
        <w:rPr>
          <w:rFonts w:ascii="Arial" w:hAnsi="Arial" w:cs="Arial"/>
          <w:b/>
          <w:bCs/>
          <w:sz w:val="24"/>
          <w:szCs w:val="24"/>
          <w:u w:val="single"/>
        </w:rPr>
      </w:pPr>
      <w:r w:rsidRPr="005975BB">
        <w:rPr>
          <w:rFonts w:ascii="Arial" w:hAnsi="Arial" w:cs="Arial"/>
          <w:b/>
          <w:bCs/>
          <w:sz w:val="24"/>
          <w:szCs w:val="24"/>
          <w:u w:val="single"/>
        </w:rPr>
        <w:t xml:space="preserve">Encyclopaedia: </w:t>
      </w:r>
    </w:p>
    <w:p w14:paraId="133A8C27" w14:textId="763D6AAD" w:rsidR="005975BB" w:rsidRPr="005975BB" w:rsidRDefault="007C1275" w:rsidP="005975BB">
      <w:pPr>
        <w:pStyle w:val="ListParagraph"/>
        <w:numPr>
          <w:ilvl w:val="0"/>
          <w:numId w:val="14"/>
        </w:numPr>
        <w:spacing w:line="480" w:lineRule="auto"/>
        <w:rPr>
          <w:rFonts w:ascii="Arial" w:hAnsi="Arial" w:cs="Arial"/>
          <w:sz w:val="24"/>
          <w:szCs w:val="24"/>
        </w:rPr>
      </w:pPr>
      <w:r w:rsidRPr="005975BB">
        <w:rPr>
          <w:rFonts w:ascii="Arial" w:hAnsi="Arial" w:cs="Arial"/>
          <w:sz w:val="24"/>
          <w:szCs w:val="24"/>
        </w:rPr>
        <w:t xml:space="preserve">Catholic Encyclopaedia (5th </w:t>
      </w:r>
      <w:proofErr w:type="spellStart"/>
      <w:r w:rsidRPr="005975BB">
        <w:rPr>
          <w:rFonts w:ascii="Arial" w:hAnsi="Arial" w:cs="Arial"/>
          <w:sz w:val="24"/>
          <w:szCs w:val="24"/>
        </w:rPr>
        <w:t>edn</w:t>
      </w:r>
      <w:proofErr w:type="spellEnd"/>
      <w:r w:rsidRPr="005975BB">
        <w:rPr>
          <w:rFonts w:ascii="Arial" w:hAnsi="Arial" w:cs="Arial"/>
          <w:sz w:val="24"/>
          <w:szCs w:val="24"/>
        </w:rPr>
        <w:t xml:space="preserve">, 1913) vol31, para 61.      </w:t>
      </w:r>
    </w:p>
    <w:p w14:paraId="46D2A343" w14:textId="1300FDD6" w:rsidR="007C1275" w:rsidRPr="005975BB" w:rsidRDefault="007C1275" w:rsidP="00424846">
      <w:pPr>
        <w:spacing w:line="480" w:lineRule="auto"/>
        <w:rPr>
          <w:rFonts w:ascii="Arial" w:hAnsi="Arial" w:cs="Arial"/>
          <w:b/>
          <w:bCs/>
          <w:sz w:val="24"/>
          <w:szCs w:val="24"/>
          <w:u w:val="single"/>
        </w:rPr>
      </w:pPr>
      <w:r w:rsidRPr="005975BB">
        <w:rPr>
          <w:rFonts w:ascii="Arial" w:hAnsi="Arial" w:cs="Arial"/>
          <w:b/>
          <w:bCs/>
          <w:sz w:val="24"/>
          <w:szCs w:val="24"/>
          <w:u w:val="single"/>
        </w:rPr>
        <w:t>Websites</w:t>
      </w:r>
      <w:r w:rsidR="005975BB">
        <w:rPr>
          <w:rFonts w:ascii="Arial" w:hAnsi="Arial" w:cs="Arial"/>
          <w:b/>
          <w:bCs/>
          <w:sz w:val="24"/>
          <w:szCs w:val="24"/>
          <w:u w:val="single"/>
        </w:rPr>
        <w:t>:</w:t>
      </w:r>
    </w:p>
    <w:p w14:paraId="19CE2080" w14:textId="585BFA36" w:rsidR="007C1275" w:rsidRPr="005975BB" w:rsidRDefault="007C1275" w:rsidP="005975BB">
      <w:pPr>
        <w:pStyle w:val="ListParagraph"/>
        <w:numPr>
          <w:ilvl w:val="0"/>
          <w:numId w:val="15"/>
        </w:numPr>
        <w:spacing w:line="480" w:lineRule="auto"/>
        <w:rPr>
          <w:rFonts w:ascii="Arial" w:hAnsi="Arial" w:cs="Arial"/>
          <w:sz w:val="24"/>
          <w:szCs w:val="24"/>
        </w:rPr>
      </w:pPr>
      <w:r w:rsidRPr="005975BB">
        <w:rPr>
          <w:rFonts w:ascii="Arial" w:hAnsi="Arial" w:cs="Arial"/>
          <w:sz w:val="24"/>
          <w:szCs w:val="24"/>
        </w:rPr>
        <w:t xml:space="preserve">Amnesty International, ‘Torture Feeds off Discrimination’ (Amnesty International, 18 October 2000) &lt; https://www.amnesty.org.uk/press-releases/torture-feeds-discrimination&gt; accessed 25 March 2020  </w:t>
      </w:r>
    </w:p>
    <w:p w14:paraId="0592383B" w14:textId="6F3ED554" w:rsidR="007C1275" w:rsidRPr="005975BB" w:rsidRDefault="007C1275" w:rsidP="005975BB">
      <w:pPr>
        <w:pStyle w:val="ListParagraph"/>
        <w:numPr>
          <w:ilvl w:val="0"/>
          <w:numId w:val="15"/>
        </w:numPr>
        <w:spacing w:line="480" w:lineRule="auto"/>
        <w:rPr>
          <w:rFonts w:ascii="Arial" w:hAnsi="Arial" w:cs="Arial"/>
          <w:sz w:val="24"/>
          <w:szCs w:val="24"/>
        </w:rPr>
      </w:pPr>
      <w:r w:rsidRPr="005975BB">
        <w:rPr>
          <w:rFonts w:ascii="Arial" w:hAnsi="Arial" w:cs="Arial"/>
          <w:sz w:val="24"/>
          <w:szCs w:val="24"/>
        </w:rPr>
        <w:t>Equality Human Rights, ‘Article 3: freedom from torture and inhumane treatment’ (Equality 2008)&lt;https://www.equalityhumanrights.com/en/human-rights-act/article-3-freedom-torture-and-inhuman-or-degrading-treatment&gt; accessed 25th March 2020</w:t>
      </w:r>
    </w:p>
    <w:p w14:paraId="5583F1E5" w14:textId="6B1F5687" w:rsidR="007C1275" w:rsidRPr="005975BB" w:rsidRDefault="007C1275" w:rsidP="005975BB">
      <w:pPr>
        <w:pStyle w:val="ListParagraph"/>
        <w:numPr>
          <w:ilvl w:val="0"/>
          <w:numId w:val="15"/>
        </w:numPr>
        <w:spacing w:line="480" w:lineRule="auto"/>
        <w:rPr>
          <w:rFonts w:ascii="Arial" w:hAnsi="Arial" w:cs="Arial"/>
          <w:sz w:val="24"/>
          <w:szCs w:val="24"/>
        </w:rPr>
      </w:pPr>
      <w:r w:rsidRPr="005975BB">
        <w:rPr>
          <w:rFonts w:ascii="Arial" w:hAnsi="Arial" w:cs="Arial"/>
          <w:sz w:val="24"/>
          <w:szCs w:val="24"/>
        </w:rPr>
        <w:t>Liberty, ‘Torture Inquiry’ (Liberty, 1 May 2009) &lt; https://www.libertyhumanrights.org.uk/fundamental/torture-inquiry/&gt; accessed 25 March 2020.</w:t>
      </w:r>
    </w:p>
    <w:p w14:paraId="41E3BC74" w14:textId="58B91609" w:rsidR="007C1275" w:rsidRPr="005975BB" w:rsidRDefault="007C1275" w:rsidP="005975BB">
      <w:pPr>
        <w:pStyle w:val="ListParagraph"/>
        <w:numPr>
          <w:ilvl w:val="0"/>
          <w:numId w:val="15"/>
        </w:numPr>
        <w:spacing w:line="480" w:lineRule="auto"/>
        <w:rPr>
          <w:rFonts w:ascii="Arial" w:hAnsi="Arial" w:cs="Arial"/>
          <w:sz w:val="24"/>
          <w:szCs w:val="24"/>
        </w:rPr>
      </w:pPr>
      <w:r w:rsidRPr="005975BB">
        <w:rPr>
          <w:rFonts w:ascii="Arial" w:hAnsi="Arial" w:cs="Arial"/>
          <w:sz w:val="24"/>
          <w:szCs w:val="24"/>
        </w:rPr>
        <w:t>Redress, ‘UK courts rule torture ‘evidence’ is admissible’ (Redress, 1 May 2004) &lt; https://redress.org/news/uk-courts-rule-torture-evidence-is-admissible/&gt; accessed 25 March  2020</w:t>
      </w:r>
    </w:p>
    <w:p w14:paraId="58C174F2" w14:textId="319938C8" w:rsidR="007C1275" w:rsidRPr="005975BB" w:rsidRDefault="007C1275" w:rsidP="005975BB">
      <w:pPr>
        <w:pStyle w:val="ListParagraph"/>
        <w:numPr>
          <w:ilvl w:val="0"/>
          <w:numId w:val="15"/>
        </w:numPr>
        <w:spacing w:line="480" w:lineRule="auto"/>
        <w:rPr>
          <w:rFonts w:ascii="Arial" w:hAnsi="Arial" w:cs="Arial"/>
          <w:sz w:val="24"/>
          <w:szCs w:val="24"/>
        </w:rPr>
      </w:pPr>
      <w:r w:rsidRPr="005975BB">
        <w:rPr>
          <w:rFonts w:ascii="Arial" w:hAnsi="Arial" w:cs="Arial"/>
          <w:sz w:val="24"/>
          <w:szCs w:val="24"/>
        </w:rPr>
        <w:t xml:space="preserve">Smet S., ‘ </w:t>
      </w:r>
      <w:proofErr w:type="spellStart"/>
      <w:r w:rsidRPr="005975BB">
        <w:rPr>
          <w:rFonts w:ascii="Arial" w:hAnsi="Arial" w:cs="Arial"/>
          <w:sz w:val="24"/>
          <w:szCs w:val="24"/>
        </w:rPr>
        <w:t>Gäfgen</w:t>
      </w:r>
      <w:proofErr w:type="spellEnd"/>
      <w:r w:rsidRPr="005975BB">
        <w:rPr>
          <w:rFonts w:ascii="Arial" w:hAnsi="Arial" w:cs="Arial"/>
          <w:sz w:val="24"/>
          <w:szCs w:val="24"/>
        </w:rPr>
        <w:t xml:space="preserve"> v. Germany: threat of torture to save a life?’(Strasbourg Observer, 6 July 2010) &lt; https://strasbourgobservers.com/2010/07/06/389/&gt; accessed 26 March 2020</w:t>
      </w:r>
    </w:p>
    <w:p w14:paraId="10B05AB5" w14:textId="77777777" w:rsidR="007C1275" w:rsidRPr="005975BB" w:rsidRDefault="007C1275" w:rsidP="00424846">
      <w:pPr>
        <w:spacing w:line="480" w:lineRule="auto"/>
        <w:rPr>
          <w:rFonts w:ascii="Arial" w:hAnsi="Arial" w:cs="Arial"/>
          <w:b/>
          <w:bCs/>
          <w:sz w:val="24"/>
          <w:szCs w:val="24"/>
          <w:u w:val="single"/>
        </w:rPr>
      </w:pPr>
      <w:r w:rsidRPr="005975BB">
        <w:rPr>
          <w:rFonts w:ascii="Arial" w:hAnsi="Arial" w:cs="Arial"/>
          <w:b/>
          <w:bCs/>
          <w:sz w:val="24"/>
          <w:szCs w:val="24"/>
          <w:u w:val="single"/>
        </w:rPr>
        <w:lastRenderedPageBreak/>
        <w:t xml:space="preserve">Newspaper articles: </w:t>
      </w:r>
    </w:p>
    <w:p w14:paraId="42B53498" w14:textId="77777777" w:rsidR="00424846" w:rsidRPr="005975BB" w:rsidRDefault="00424846" w:rsidP="005975BB">
      <w:pPr>
        <w:pStyle w:val="ListParagraph"/>
        <w:numPr>
          <w:ilvl w:val="0"/>
          <w:numId w:val="17"/>
        </w:numPr>
        <w:spacing w:line="480" w:lineRule="auto"/>
        <w:rPr>
          <w:rFonts w:ascii="Arial" w:hAnsi="Arial" w:cs="Arial"/>
          <w:sz w:val="24"/>
          <w:szCs w:val="24"/>
        </w:rPr>
      </w:pPr>
      <w:r w:rsidRPr="005975BB">
        <w:rPr>
          <w:rFonts w:ascii="Arial" w:hAnsi="Arial" w:cs="Arial"/>
          <w:sz w:val="24"/>
          <w:szCs w:val="24"/>
        </w:rPr>
        <w:t>BBC News, ‘’Jihadi John’ UK harassment claims revealed in emails’ (BBC NEWS London, 26 February 2015) &lt; https://www.bbc.co.uk/news/uk-31647271&gt; accessed 25th March 2020.</w:t>
      </w:r>
    </w:p>
    <w:p w14:paraId="3CAF7E8A" w14:textId="77777777" w:rsidR="00424846" w:rsidRPr="005975BB" w:rsidRDefault="00424846" w:rsidP="005975BB">
      <w:pPr>
        <w:pStyle w:val="ListParagraph"/>
        <w:numPr>
          <w:ilvl w:val="0"/>
          <w:numId w:val="17"/>
        </w:numPr>
        <w:spacing w:line="480" w:lineRule="auto"/>
        <w:rPr>
          <w:rFonts w:ascii="Arial" w:hAnsi="Arial" w:cs="Arial"/>
          <w:sz w:val="24"/>
          <w:szCs w:val="24"/>
        </w:rPr>
      </w:pPr>
      <w:proofErr w:type="spellStart"/>
      <w:r w:rsidRPr="005975BB">
        <w:rPr>
          <w:rFonts w:ascii="Arial" w:hAnsi="Arial" w:cs="Arial"/>
          <w:sz w:val="24"/>
          <w:szCs w:val="24"/>
        </w:rPr>
        <w:t>Froomkin</w:t>
      </w:r>
      <w:proofErr w:type="spellEnd"/>
      <w:r w:rsidRPr="005975BB">
        <w:rPr>
          <w:rFonts w:ascii="Arial" w:hAnsi="Arial" w:cs="Arial"/>
          <w:sz w:val="24"/>
          <w:szCs w:val="24"/>
        </w:rPr>
        <w:t xml:space="preserve"> D., ‘Does Torture Work’ The Economist (New York, 27th Jan 2009) 3</w:t>
      </w:r>
    </w:p>
    <w:p w14:paraId="33964D60" w14:textId="77777777" w:rsidR="00424846" w:rsidRPr="005975BB" w:rsidRDefault="00424846" w:rsidP="005975BB">
      <w:pPr>
        <w:pStyle w:val="ListParagraph"/>
        <w:numPr>
          <w:ilvl w:val="0"/>
          <w:numId w:val="17"/>
        </w:numPr>
        <w:spacing w:line="480" w:lineRule="auto"/>
        <w:rPr>
          <w:rFonts w:ascii="Arial" w:hAnsi="Arial" w:cs="Arial"/>
          <w:sz w:val="24"/>
          <w:szCs w:val="24"/>
        </w:rPr>
      </w:pPr>
      <w:r w:rsidRPr="005975BB">
        <w:rPr>
          <w:rFonts w:ascii="Arial" w:hAnsi="Arial" w:cs="Arial"/>
          <w:sz w:val="24"/>
          <w:szCs w:val="24"/>
        </w:rPr>
        <w:t>Hall R., ‘US soldier who abused prisoners at Abu Ghraib refuses to apologise for her actions ’(The Independent, 21 March 2012) &lt; https://www.independent.co.uk/news/world/middle-east/us-soldier-who-abused-prisoners-at-abu-ghraib-refuses-to-apologise-for-her-actions-7579422.html&gt; accessed 25 March 2020.</w:t>
      </w:r>
    </w:p>
    <w:p w14:paraId="62DF80E4" w14:textId="01E886C1" w:rsidR="00424846" w:rsidRPr="00424846" w:rsidRDefault="00424846" w:rsidP="00424846">
      <w:pPr>
        <w:rPr>
          <w:sz w:val="24"/>
          <w:szCs w:val="24"/>
        </w:rPr>
      </w:pPr>
    </w:p>
    <w:p w14:paraId="08C7426D" w14:textId="5F4C09AA" w:rsidR="008D5432" w:rsidRPr="00424846" w:rsidRDefault="008D5432" w:rsidP="00A14766">
      <w:pPr>
        <w:rPr>
          <w:sz w:val="24"/>
          <w:szCs w:val="24"/>
        </w:rPr>
      </w:pPr>
    </w:p>
    <w:p w14:paraId="031BB633" w14:textId="5929642B" w:rsidR="008D5432" w:rsidRPr="00424846" w:rsidRDefault="008D5432" w:rsidP="00A14766">
      <w:pPr>
        <w:rPr>
          <w:sz w:val="24"/>
          <w:szCs w:val="24"/>
        </w:rPr>
      </w:pPr>
    </w:p>
    <w:p w14:paraId="23F4B4D2" w14:textId="7DC995AE" w:rsidR="008D5432" w:rsidRPr="00424846" w:rsidRDefault="008D5432" w:rsidP="00A14766">
      <w:pPr>
        <w:rPr>
          <w:sz w:val="24"/>
          <w:szCs w:val="24"/>
        </w:rPr>
      </w:pPr>
    </w:p>
    <w:p w14:paraId="398039A9" w14:textId="7CC0ABD1" w:rsidR="008D5432" w:rsidRPr="00424846" w:rsidRDefault="008D5432" w:rsidP="00A14766">
      <w:pPr>
        <w:rPr>
          <w:sz w:val="24"/>
          <w:szCs w:val="24"/>
        </w:rPr>
      </w:pPr>
    </w:p>
    <w:p w14:paraId="068C642B" w14:textId="52EB872F" w:rsidR="00AB2C89" w:rsidRPr="00424846" w:rsidRDefault="00AB2C89" w:rsidP="00A14766">
      <w:pPr>
        <w:rPr>
          <w:sz w:val="24"/>
          <w:szCs w:val="24"/>
        </w:rPr>
      </w:pPr>
    </w:p>
    <w:p w14:paraId="30ADED71" w14:textId="7785F41A" w:rsidR="00AB2C89" w:rsidRPr="00424846" w:rsidRDefault="00AB2C89" w:rsidP="00A14766">
      <w:pPr>
        <w:rPr>
          <w:sz w:val="24"/>
          <w:szCs w:val="24"/>
        </w:rPr>
      </w:pPr>
    </w:p>
    <w:p w14:paraId="68F28A2C" w14:textId="3BAB9639" w:rsidR="007716D3" w:rsidRPr="00424846" w:rsidRDefault="007716D3" w:rsidP="00A14766">
      <w:pPr>
        <w:rPr>
          <w:sz w:val="24"/>
          <w:szCs w:val="24"/>
        </w:rPr>
      </w:pPr>
    </w:p>
    <w:p w14:paraId="48E1C561" w14:textId="28BE6F06" w:rsidR="00A73F0D" w:rsidRPr="00424846" w:rsidRDefault="00A73F0D" w:rsidP="00A73F0D">
      <w:pPr>
        <w:rPr>
          <w:sz w:val="24"/>
          <w:szCs w:val="24"/>
        </w:rPr>
      </w:pPr>
    </w:p>
    <w:sectPr w:rsidR="00A73F0D" w:rsidRPr="00424846" w:rsidSect="009D6080">
      <w:head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99AB3" w14:textId="77777777" w:rsidR="006C456E" w:rsidRDefault="006C456E" w:rsidP="002120C1">
      <w:pPr>
        <w:spacing w:after="0" w:line="240" w:lineRule="auto"/>
      </w:pPr>
      <w:r>
        <w:separator/>
      </w:r>
    </w:p>
  </w:endnote>
  <w:endnote w:type="continuationSeparator" w:id="0">
    <w:p w14:paraId="7FD57228" w14:textId="77777777" w:rsidR="006C456E" w:rsidRDefault="006C456E" w:rsidP="0021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A99C" w14:textId="0C0D496E" w:rsidR="001325EA" w:rsidRDefault="001325EA">
    <w:pPr>
      <w:pStyle w:val="Footer"/>
    </w:pPr>
  </w:p>
  <w:p w14:paraId="357B998E" w14:textId="77777777" w:rsidR="001325EA" w:rsidRDefault="0013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1CDC3" w14:textId="77777777" w:rsidR="006C456E" w:rsidRDefault="006C456E" w:rsidP="002120C1">
      <w:pPr>
        <w:spacing w:after="0" w:line="240" w:lineRule="auto"/>
      </w:pPr>
      <w:r>
        <w:separator/>
      </w:r>
    </w:p>
  </w:footnote>
  <w:footnote w:type="continuationSeparator" w:id="0">
    <w:p w14:paraId="4966AC79" w14:textId="77777777" w:rsidR="006C456E" w:rsidRDefault="006C456E" w:rsidP="002120C1">
      <w:pPr>
        <w:spacing w:after="0" w:line="240" w:lineRule="auto"/>
      </w:pPr>
      <w:r>
        <w:continuationSeparator/>
      </w:r>
    </w:p>
  </w:footnote>
  <w:footnote w:id="1">
    <w:p w14:paraId="31BD14B7" w14:textId="591A8994" w:rsidR="006212EC" w:rsidRDefault="006212EC">
      <w:pPr>
        <w:pStyle w:val="FootnoteText"/>
      </w:pPr>
      <w:r>
        <w:rPr>
          <w:rStyle w:val="FootnoteReference"/>
        </w:rPr>
        <w:footnoteRef/>
      </w:r>
      <w:r>
        <w:t xml:space="preserve"> </w:t>
      </w:r>
      <w:bookmarkStart w:id="1" w:name="_Hlk36152733"/>
      <w:r w:rsidRPr="00A70124">
        <w:t>John</w:t>
      </w:r>
      <w:r>
        <w:t xml:space="preserve"> </w:t>
      </w:r>
      <w:r w:rsidRPr="00A70124">
        <w:t>Langbein</w:t>
      </w:r>
      <w:r>
        <w:t xml:space="preserve">, </w:t>
      </w:r>
      <w:r w:rsidRPr="00C6554A">
        <w:t>Torture and the Law of Proof</w:t>
      </w:r>
      <w:r>
        <w:t xml:space="preserve"> (first published </w:t>
      </w:r>
      <w:r w:rsidRPr="00C6554A">
        <w:t>2006</w:t>
      </w:r>
      <w:r>
        <w:t xml:space="preserve">, </w:t>
      </w:r>
      <w:r w:rsidRPr="00C6554A">
        <w:t>University of Chicago Press</w:t>
      </w:r>
      <w:r>
        <w:t>) 4</w:t>
      </w:r>
    </w:p>
  </w:footnote>
  <w:footnote w:id="2">
    <w:p w14:paraId="7583E2C2" w14:textId="3C922125" w:rsidR="006212EC" w:rsidRDefault="006212EC" w:rsidP="00C6554A">
      <w:pPr>
        <w:pStyle w:val="FootnoteText"/>
      </w:pPr>
      <w:r>
        <w:rPr>
          <w:rStyle w:val="FootnoteReference"/>
        </w:rPr>
        <w:footnoteRef/>
      </w:r>
      <w:r>
        <w:t xml:space="preserve"> Liberty, ‘</w:t>
      </w:r>
      <w:r w:rsidR="00DB0577">
        <w:t>Torture</w:t>
      </w:r>
      <w:r>
        <w:t xml:space="preserve"> Inquiry’ (Liberty, 1 May 2009) &lt; </w:t>
      </w:r>
      <w:r w:rsidRPr="00DD69EE">
        <w:t>https://www.libertyhumanrights.org.uk/fundamental/torture-inquiry/</w:t>
      </w:r>
      <w:r>
        <w:t xml:space="preserve">&gt; accessed 25 March 2020. </w:t>
      </w:r>
    </w:p>
  </w:footnote>
  <w:footnote w:id="3">
    <w:p w14:paraId="3098E1E3" w14:textId="4673405D" w:rsidR="006212EC" w:rsidRDefault="006212EC">
      <w:pPr>
        <w:pStyle w:val="FootnoteText"/>
      </w:pPr>
      <w:r>
        <w:rPr>
          <w:rStyle w:val="FootnoteReference"/>
        </w:rPr>
        <w:footnoteRef/>
      </w:r>
      <w:r>
        <w:t xml:space="preserve"> </w:t>
      </w:r>
      <w:r w:rsidRPr="00992908">
        <w:t>John Langbein, Torture and the Law of Proof (first published 20</w:t>
      </w:r>
      <w:r>
        <w:t>12</w:t>
      </w:r>
      <w:r w:rsidRPr="00992908">
        <w:t xml:space="preserve">, University of Chicago Press) </w:t>
      </w:r>
      <w:r>
        <w:t>6-9</w:t>
      </w:r>
    </w:p>
  </w:footnote>
  <w:footnote w:id="4">
    <w:p w14:paraId="45619F66" w14:textId="75D623AF" w:rsidR="006212EC" w:rsidRDefault="006212EC">
      <w:pPr>
        <w:pStyle w:val="FootnoteText"/>
      </w:pPr>
      <w:r>
        <w:rPr>
          <w:rStyle w:val="FootnoteReference"/>
        </w:rPr>
        <w:footnoteRef/>
      </w:r>
      <w:r>
        <w:t xml:space="preserve"> Ibid, ‘with the use of a papal bull Ad Extirpanda’ as the method of torture. </w:t>
      </w:r>
    </w:p>
  </w:footnote>
  <w:footnote w:id="5">
    <w:p w14:paraId="211032A8" w14:textId="32534EC7" w:rsidR="006212EC" w:rsidRPr="00880743" w:rsidRDefault="006212EC" w:rsidP="00880743">
      <w:pPr>
        <w:rPr>
          <w:sz w:val="20"/>
          <w:szCs w:val="20"/>
        </w:rPr>
      </w:pPr>
      <w:r w:rsidRPr="00880743">
        <w:rPr>
          <w:rStyle w:val="FootnoteReference"/>
          <w:sz w:val="20"/>
          <w:szCs w:val="20"/>
        </w:rPr>
        <w:footnoteRef/>
      </w:r>
      <w:r w:rsidRPr="00880743">
        <w:rPr>
          <w:sz w:val="20"/>
          <w:szCs w:val="20"/>
        </w:rPr>
        <w:t xml:space="preserve"> Ibid, quoted at The Roman Theological Forum. </w:t>
      </w:r>
    </w:p>
  </w:footnote>
  <w:footnote w:id="6">
    <w:p w14:paraId="2DDBBDFF" w14:textId="6C7E5952" w:rsidR="006212EC" w:rsidRDefault="006212EC">
      <w:pPr>
        <w:pStyle w:val="FootnoteText"/>
      </w:pPr>
      <w:r>
        <w:rPr>
          <w:rStyle w:val="FootnoteReference"/>
        </w:rPr>
        <w:footnoteRef/>
      </w:r>
      <w:r>
        <w:t>Ibid 21</w:t>
      </w:r>
    </w:p>
  </w:footnote>
  <w:footnote w:id="7">
    <w:p w14:paraId="0D143FDA" w14:textId="7A89F3CC" w:rsidR="009B1F38" w:rsidRDefault="009B1F38">
      <w:pPr>
        <w:pStyle w:val="FootnoteText"/>
      </w:pPr>
      <w:r>
        <w:rPr>
          <w:rStyle w:val="FootnoteReference"/>
        </w:rPr>
        <w:footnoteRef/>
      </w:r>
      <w:r>
        <w:t xml:space="preserve"> Ibid. </w:t>
      </w:r>
    </w:p>
  </w:footnote>
  <w:footnote w:id="8">
    <w:p w14:paraId="4A72A4B6" w14:textId="7EC7172E" w:rsidR="009B1F38" w:rsidRDefault="009B1F38">
      <w:pPr>
        <w:pStyle w:val="FootnoteText"/>
      </w:pPr>
      <w:r>
        <w:rPr>
          <w:rStyle w:val="FootnoteReference"/>
        </w:rPr>
        <w:footnoteRef/>
      </w:r>
      <w:r>
        <w:t xml:space="preserve"> Ibid. </w:t>
      </w:r>
    </w:p>
  </w:footnote>
  <w:footnote w:id="9">
    <w:p w14:paraId="075A0DCF" w14:textId="79951E6E" w:rsidR="006212EC" w:rsidRDefault="006212EC">
      <w:pPr>
        <w:pStyle w:val="FootnoteText"/>
      </w:pPr>
      <w:bookmarkStart w:id="2" w:name="_Hlk36152831"/>
      <w:r>
        <w:rPr>
          <w:rStyle w:val="FootnoteReference"/>
        </w:rPr>
        <w:footnoteRef/>
      </w:r>
      <w:r>
        <w:t xml:space="preserve"> </w:t>
      </w:r>
      <w:r w:rsidRPr="00880743">
        <w:t>Patrick Geary</w:t>
      </w:r>
      <w:r>
        <w:t xml:space="preserve"> and Karras, </w:t>
      </w:r>
      <w:r w:rsidRPr="00880743">
        <w:t>Law and the Illicit in Medieval Europe</w:t>
      </w:r>
      <w:r>
        <w:t xml:space="preserve">(first published </w:t>
      </w:r>
      <w:r w:rsidRPr="005A101A">
        <w:t>2</w:t>
      </w:r>
      <w:r>
        <w:t xml:space="preserve">008, </w:t>
      </w:r>
      <w:r w:rsidRPr="005A101A">
        <w:t>University of Pennsylvania Press</w:t>
      </w:r>
      <w:r>
        <w:t xml:space="preserve"> 2013)80</w:t>
      </w:r>
      <w:r w:rsidRPr="005A101A">
        <w:t xml:space="preserve"> </w:t>
      </w:r>
    </w:p>
  </w:footnote>
  <w:footnote w:id="10">
    <w:p w14:paraId="6377EFA1" w14:textId="59E51DCD" w:rsidR="006212EC" w:rsidRDefault="006212EC" w:rsidP="005A101A">
      <w:pPr>
        <w:pStyle w:val="FootnoteText"/>
      </w:pPr>
      <w:r>
        <w:rPr>
          <w:rStyle w:val="FootnoteReference"/>
        </w:rPr>
        <w:footnoteRef/>
      </w:r>
      <w:r>
        <w:t xml:space="preserve"> </w:t>
      </w:r>
      <w:r w:rsidRPr="005A101A">
        <w:t>Jennifer Glancy</w:t>
      </w:r>
      <w:r>
        <w:t>, ‘</w:t>
      </w:r>
      <w:r w:rsidRPr="005A101A">
        <w:t>Torture: Flesh, Truth, and the Fourth Gospel</w:t>
      </w:r>
      <w:r>
        <w:t>’ [2005]  13(2) Brill &lt;</w:t>
      </w:r>
      <w:r w:rsidRPr="005A101A">
        <w:t xml:space="preserve"> </w:t>
      </w:r>
      <w:hyperlink r:id="rId1" w:history="1">
        <w:r w:rsidRPr="00255DE5">
          <w:rPr>
            <w:rStyle w:val="Hyperlink"/>
          </w:rPr>
          <w:t>https://brill.com/view/journals/bi/13/2/article-p107_1.xml</w:t>
        </w:r>
      </w:hyperlink>
      <w:r>
        <w:t>&gt; accessed 25 March 2020</w:t>
      </w:r>
    </w:p>
  </w:footnote>
  <w:footnote w:id="11">
    <w:p w14:paraId="12E785ED" w14:textId="10DF1B51" w:rsidR="006212EC" w:rsidRDefault="006212EC">
      <w:pPr>
        <w:pStyle w:val="FootnoteText"/>
      </w:pPr>
      <w:r>
        <w:rPr>
          <w:rStyle w:val="FootnoteReference"/>
        </w:rPr>
        <w:footnoteRef/>
      </w:r>
      <w:r>
        <w:t xml:space="preserve"> Ibid 107</w:t>
      </w:r>
    </w:p>
  </w:footnote>
  <w:footnote w:id="12">
    <w:p w14:paraId="26C2B09E" w14:textId="0CCDCFBA" w:rsidR="006212EC" w:rsidRDefault="006212EC" w:rsidP="002C2A46">
      <w:pPr>
        <w:pStyle w:val="FootnoteText"/>
      </w:pPr>
      <w:r>
        <w:rPr>
          <w:rStyle w:val="FootnoteReference"/>
        </w:rPr>
        <w:footnoteRef/>
      </w:r>
      <w:r>
        <w:t xml:space="preserve"> </w:t>
      </w:r>
      <w:bookmarkStart w:id="3" w:name="_Hlk35966548"/>
      <w:r>
        <w:t xml:space="preserve">Ibid </w:t>
      </w:r>
    </w:p>
  </w:footnote>
  <w:footnote w:id="13">
    <w:p w14:paraId="515DCDC8" w14:textId="16A2C213" w:rsidR="006212EC" w:rsidRDefault="006212EC">
      <w:pPr>
        <w:pStyle w:val="FootnoteText"/>
      </w:pPr>
      <w:r>
        <w:rPr>
          <w:rStyle w:val="FootnoteReference"/>
        </w:rPr>
        <w:footnoteRef/>
      </w:r>
      <w:r>
        <w:t xml:space="preserve"> Ibid</w:t>
      </w:r>
    </w:p>
  </w:footnote>
  <w:footnote w:id="14">
    <w:p w14:paraId="31A1CF19" w14:textId="702D72B5" w:rsidR="006212EC" w:rsidRDefault="006212EC">
      <w:pPr>
        <w:pStyle w:val="FootnoteText"/>
      </w:pPr>
      <w:r>
        <w:rPr>
          <w:rStyle w:val="FootnoteReference"/>
        </w:rPr>
        <w:footnoteRef/>
      </w:r>
      <w:r>
        <w:t xml:space="preserve"> Ibid ‘the Lord did not order to return evil with evil’.</w:t>
      </w:r>
    </w:p>
  </w:footnote>
  <w:footnote w:id="15">
    <w:p w14:paraId="11352C4C" w14:textId="7604B248" w:rsidR="009B1F38" w:rsidRDefault="009B1F38">
      <w:pPr>
        <w:pStyle w:val="FootnoteText"/>
      </w:pPr>
      <w:r>
        <w:rPr>
          <w:rStyle w:val="FootnoteReference"/>
        </w:rPr>
        <w:footnoteRef/>
      </w:r>
      <w:r>
        <w:t xml:space="preserve"> Ibid. </w:t>
      </w:r>
    </w:p>
  </w:footnote>
  <w:footnote w:id="16">
    <w:p w14:paraId="146EB40F" w14:textId="49C8EC14" w:rsidR="006212EC" w:rsidRDefault="006212EC" w:rsidP="00FD1E87">
      <w:pPr>
        <w:pStyle w:val="FootnoteText"/>
      </w:pPr>
      <w:r>
        <w:rPr>
          <w:rStyle w:val="FootnoteReference"/>
        </w:rPr>
        <w:footnoteRef/>
      </w:r>
      <w:r>
        <w:t xml:space="preserve"> </w:t>
      </w:r>
      <w:bookmarkStart w:id="4" w:name="_Hlk36152902"/>
      <w:r w:rsidRPr="002C2A46">
        <w:t>Franklin, The Science of Conjecture: Evidence and Probability Before Pascal.(</w:t>
      </w:r>
      <w:r>
        <w:t xml:space="preserve">first published 2001, </w:t>
      </w:r>
      <w:r w:rsidRPr="002C2A46">
        <w:t>Baltimore: JHUP</w:t>
      </w:r>
      <w:r>
        <w:t xml:space="preserve">) </w:t>
      </w:r>
      <w:r w:rsidRPr="002C2A46">
        <w:t>26-30</w:t>
      </w:r>
      <w:r>
        <w:t xml:space="preserve"> </w:t>
      </w:r>
      <w:bookmarkEnd w:id="4"/>
    </w:p>
  </w:footnote>
  <w:footnote w:id="17">
    <w:p w14:paraId="46FBFBDA" w14:textId="353FF6B6" w:rsidR="006212EC" w:rsidRDefault="006212EC">
      <w:pPr>
        <w:pStyle w:val="FootnoteText"/>
      </w:pPr>
      <w:r>
        <w:rPr>
          <w:rStyle w:val="FootnoteReference"/>
        </w:rPr>
        <w:footnoteRef/>
      </w:r>
      <w:r>
        <w:t xml:space="preserve"> Geary and Karras, </w:t>
      </w:r>
      <w:r w:rsidRPr="002C2A46">
        <w:t xml:space="preserve">Law and the Illicit in Medieval Europe </w:t>
      </w:r>
      <w:r>
        <w:t xml:space="preserve">(first published 2008, </w:t>
      </w:r>
      <w:r w:rsidRPr="002C2A46">
        <w:t>University of Pennsylvania Press</w:t>
      </w:r>
      <w:r>
        <w:t xml:space="preserve"> 2008)</w:t>
      </w:r>
      <w:r w:rsidRPr="002C2A46">
        <w:t>. p.123</w:t>
      </w:r>
    </w:p>
  </w:footnote>
  <w:footnote w:id="18">
    <w:p w14:paraId="135C2240" w14:textId="77777777" w:rsidR="009B1F38" w:rsidRDefault="009B1F38" w:rsidP="009B1F38">
      <w:pPr>
        <w:pStyle w:val="FootnoteText"/>
      </w:pPr>
      <w:r>
        <w:rPr>
          <w:rStyle w:val="FootnoteReference"/>
        </w:rPr>
        <w:footnoteRef/>
      </w:r>
      <w:r>
        <w:t xml:space="preserve"> </w:t>
      </w:r>
      <w:bookmarkStart w:id="5" w:name="_Hlk36152938"/>
      <w:r w:rsidRPr="002C2A46">
        <w:t>Simon Webb</w:t>
      </w:r>
      <w:r>
        <w:t>,</w:t>
      </w:r>
      <w:r w:rsidRPr="002C2A46">
        <w:t xml:space="preserve"> A History of Torture in Britain </w:t>
      </w:r>
      <w:r>
        <w:t xml:space="preserve">(first published 2019, </w:t>
      </w:r>
      <w:r w:rsidRPr="002C2A46">
        <w:t>Sword Books Limited</w:t>
      </w:r>
      <w:r>
        <w:t xml:space="preserve">) </w:t>
      </w:r>
      <w:r w:rsidRPr="002C2A46">
        <w:t>33</w:t>
      </w:r>
      <w:bookmarkEnd w:id="5"/>
    </w:p>
  </w:footnote>
  <w:footnote w:id="19">
    <w:p w14:paraId="5A4087A0" w14:textId="5B2337E7" w:rsidR="009B1F38" w:rsidRDefault="009B1F38">
      <w:pPr>
        <w:pStyle w:val="FootnoteText"/>
      </w:pPr>
      <w:r>
        <w:rPr>
          <w:rStyle w:val="FootnoteReference"/>
        </w:rPr>
        <w:footnoteRef/>
      </w:r>
      <w:r>
        <w:t xml:space="preserve"> Ibid. </w:t>
      </w:r>
    </w:p>
  </w:footnote>
  <w:footnote w:id="20">
    <w:p w14:paraId="41AE18A6" w14:textId="662C3827" w:rsidR="006212EC" w:rsidRDefault="006212EC" w:rsidP="00700B84">
      <w:pPr>
        <w:pStyle w:val="FootnoteText"/>
      </w:pPr>
      <w:r>
        <w:rPr>
          <w:rStyle w:val="FootnoteReference"/>
        </w:rPr>
        <w:footnoteRef/>
      </w:r>
      <w:r>
        <w:t xml:space="preserve"> </w:t>
      </w:r>
      <w:bookmarkStart w:id="6" w:name="_Hlk36152957"/>
      <w:r w:rsidRPr="002C2A46">
        <w:t>Catholic Encyclopaedia</w:t>
      </w:r>
      <w:r>
        <w:t xml:space="preserve"> (5</w:t>
      </w:r>
      <w:r w:rsidRPr="00CD2738">
        <w:rPr>
          <w:vertAlign w:val="superscript"/>
        </w:rPr>
        <w:t>th</w:t>
      </w:r>
      <w:r>
        <w:t xml:space="preserve"> </w:t>
      </w:r>
      <w:proofErr w:type="spellStart"/>
      <w:r w:rsidRPr="002C2A46">
        <w:t>ed</w:t>
      </w:r>
      <w:r>
        <w:t>n</w:t>
      </w:r>
      <w:proofErr w:type="spellEnd"/>
      <w:r>
        <w:t xml:space="preserve">, </w:t>
      </w:r>
      <w:r w:rsidRPr="002C2A46">
        <w:t>1913)</w:t>
      </w:r>
      <w:r>
        <w:t xml:space="preserve"> vol31, para 61.      </w:t>
      </w:r>
      <w:bookmarkEnd w:id="6"/>
    </w:p>
  </w:footnote>
  <w:footnote w:id="21">
    <w:p w14:paraId="5550825B" w14:textId="4858272B" w:rsidR="006212EC" w:rsidRDefault="006212EC">
      <w:pPr>
        <w:pStyle w:val="FootnoteText"/>
      </w:pPr>
      <w:bookmarkStart w:id="7" w:name="_Hlk35966703"/>
      <w:r>
        <w:rPr>
          <w:rStyle w:val="FootnoteReference"/>
        </w:rPr>
        <w:footnoteRef/>
      </w:r>
      <w:r>
        <w:t xml:space="preserve"> </w:t>
      </w:r>
      <w:r w:rsidRPr="000C1EE2">
        <w:t>Ibid 43</w:t>
      </w:r>
    </w:p>
  </w:footnote>
  <w:footnote w:id="22">
    <w:p w14:paraId="0222688B" w14:textId="5E69F2EE" w:rsidR="006212EC" w:rsidRDefault="006212EC">
      <w:pPr>
        <w:pStyle w:val="FootnoteText"/>
      </w:pPr>
      <w:r>
        <w:rPr>
          <w:rStyle w:val="FootnoteReference"/>
        </w:rPr>
        <w:footnoteRef/>
      </w:r>
      <w:r>
        <w:t xml:space="preserve"> </w:t>
      </w:r>
      <w:bookmarkStart w:id="8" w:name="_Hlk36152978"/>
      <w:r w:rsidRPr="000C1EE2">
        <w:t>Darius Rejali</w:t>
      </w:r>
      <w:r>
        <w:t xml:space="preserve">, Torture and Democracy (first published 2009, Princeton University Press) </w:t>
      </w:r>
      <w:proofErr w:type="gramStart"/>
      <w:r>
        <w:t>668;</w:t>
      </w:r>
      <w:proofErr w:type="gramEnd"/>
    </w:p>
    <w:p w14:paraId="0C6C5F92" w14:textId="22E68FAB" w:rsidR="006212EC" w:rsidRDefault="006212EC">
      <w:pPr>
        <w:pStyle w:val="FootnoteText"/>
      </w:pPr>
      <w:r>
        <w:t xml:space="preserve"> Scott, The History of torture (first published 201, Routledge) 256</w:t>
      </w:r>
      <w:bookmarkEnd w:id="8"/>
    </w:p>
  </w:footnote>
  <w:footnote w:id="23">
    <w:p w14:paraId="6AC7C055" w14:textId="1571BADC" w:rsidR="006212EC" w:rsidRDefault="006212EC">
      <w:pPr>
        <w:pStyle w:val="FootnoteText"/>
      </w:pPr>
      <w:r>
        <w:rPr>
          <w:rStyle w:val="FootnoteReference"/>
        </w:rPr>
        <w:footnoteRef/>
      </w:r>
      <w:r>
        <w:t xml:space="preserve"> </w:t>
      </w:r>
      <w:bookmarkStart w:id="9" w:name="_Hlk36153022"/>
      <w:r w:rsidRPr="00EB35A0">
        <w:t>McMartin v. County of Los Angeles (1988)</w:t>
      </w:r>
      <w:r>
        <w:t xml:space="preserve"> </w:t>
      </w:r>
      <w:r w:rsidRPr="00EB35A0">
        <w:t>202 Cal. App. 3d 853</w:t>
      </w:r>
      <w:bookmarkEnd w:id="9"/>
    </w:p>
  </w:footnote>
  <w:footnote w:id="24">
    <w:p w14:paraId="53E06D2B" w14:textId="58FA2051" w:rsidR="006212EC" w:rsidRDefault="006212EC" w:rsidP="001B74B3">
      <w:pPr>
        <w:pStyle w:val="FootnoteText"/>
      </w:pPr>
      <w:r>
        <w:rPr>
          <w:rStyle w:val="FootnoteReference"/>
        </w:rPr>
        <w:footnoteRef/>
      </w:r>
      <w:r>
        <w:t xml:space="preserve"> </w:t>
      </w:r>
      <w:bookmarkStart w:id="10" w:name="_Hlk36153066"/>
      <w:r>
        <w:t>Garven, ‘Theory, “</w:t>
      </w:r>
      <w:r w:rsidRPr="001B74B3">
        <w:t>The effect of interviewing techniques from the McMartin Preschool case.</w:t>
      </w:r>
      <w:r>
        <w:t>’ [1998] American Psychological Association 347</w:t>
      </w:r>
      <w:bookmarkEnd w:id="10"/>
    </w:p>
  </w:footnote>
  <w:footnote w:id="25">
    <w:p w14:paraId="50FD30FB" w14:textId="58580577" w:rsidR="006212EC" w:rsidRDefault="006212EC" w:rsidP="00200F3F">
      <w:pPr>
        <w:pStyle w:val="FootnoteText"/>
      </w:pPr>
      <w:r>
        <w:rPr>
          <w:rStyle w:val="FootnoteReference"/>
        </w:rPr>
        <w:footnoteRef/>
      </w:r>
      <w:r>
        <w:t xml:space="preserve"> </w:t>
      </w:r>
      <w:bookmarkStart w:id="11" w:name="_Hlk36153101"/>
      <w:r w:rsidRPr="00771D58">
        <w:t>William Andrews</w:t>
      </w:r>
      <w:r>
        <w:t xml:space="preserve">, </w:t>
      </w:r>
      <w:r w:rsidRPr="00771D58">
        <w:t>Medieval Punishments</w:t>
      </w:r>
      <w:r>
        <w:t xml:space="preserve"> (first published </w:t>
      </w:r>
      <w:r w:rsidRPr="00771D58">
        <w:t>2013</w:t>
      </w:r>
      <w:r>
        <w:t>, Skyhorse Publishing, Inc.)320</w:t>
      </w:r>
    </w:p>
  </w:footnote>
  <w:footnote w:id="26">
    <w:p w14:paraId="71D32412" w14:textId="1C3E3A7B" w:rsidR="006212EC" w:rsidRDefault="006212EC">
      <w:pPr>
        <w:pStyle w:val="FootnoteText"/>
      </w:pPr>
      <w:r>
        <w:rPr>
          <w:rStyle w:val="FootnoteReference"/>
        </w:rPr>
        <w:footnoteRef/>
      </w:r>
      <w:r>
        <w:t xml:space="preserve">Hunt </w:t>
      </w:r>
      <w:proofErr w:type="spellStart"/>
      <w:r>
        <w:t>Janin</w:t>
      </w:r>
      <w:proofErr w:type="spellEnd"/>
      <w:r>
        <w:t>, Medieval Justice: Cases and Laws in France and England (first published 2009, McFarland) 231</w:t>
      </w:r>
    </w:p>
  </w:footnote>
  <w:footnote w:id="27">
    <w:p w14:paraId="63219105" w14:textId="43A1A3B1" w:rsidR="006212EC" w:rsidRDefault="006212EC">
      <w:pPr>
        <w:pStyle w:val="FootnoteText"/>
      </w:pPr>
      <w:r>
        <w:rPr>
          <w:rStyle w:val="FootnoteReference"/>
        </w:rPr>
        <w:footnoteRef/>
      </w:r>
      <w:r>
        <w:t xml:space="preserve"> </w:t>
      </w:r>
      <w:bookmarkStart w:id="12" w:name="_Hlk36153133"/>
      <w:r>
        <w:t xml:space="preserve">Jeremy </w:t>
      </w:r>
      <w:proofErr w:type="spellStart"/>
      <w:r>
        <w:t>Wisnewski</w:t>
      </w:r>
      <w:proofErr w:type="spellEnd"/>
      <w:r>
        <w:t>, Understanding torture (first published 2010, Edinburgh University Press) 223</w:t>
      </w:r>
    </w:p>
  </w:footnote>
  <w:footnote w:id="28">
    <w:p w14:paraId="2C0C3C29" w14:textId="77105A91" w:rsidR="006212EC" w:rsidRDefault="006212EC">
      <w:pPr>
        <w:pStyle w:val="FootnoteText"/>
      </w:pPr>
      <w:bookmarkStart w:id="13" w:name="_Hlk35966745"/>
      <w:r>
        <w:rPr>
          <w:rStyle w:val="FootnoteReference"/>
        </w:rPr>
        <w:footnoteRef/>
      </w:r>
      <w:r>
        <w:t xml:space="preserve"> David Bien, The Calas Affair (first published 1960, Princeton University Press) 23-47</w:t>
      </w:r>
    </w:p>
  </w:footnote>
  <w:footnote w:id="29">
    <w:p w14:paraId="1CDB5157" w14:textId="1F070018" w:rsidR="006212EC" w:rsidRDefault="006212EC">
      <w:pPr>
        <w:pStyle w:val="FootnoteText"/>
      </w:pPr>
      <w:r>
        <w:rPr>
          <w:rStyle w:val="FootnoteReference"/>
        </w:rPr>
        <w:footnoteRef/>
      </w:r>
      <w:r>
        <w:t xml:space="preserve"> ibid</w:t>
      </w:r>
    </w:p>
  </w:footnote>
  <w:footnote w:id="30">
    <w:p w14:paraId="134F96DC" w14:textId="755C32B5" w:rsidR="006212EC" w:rsidRDefault="006212EC">
      <w:pPr>
        <w:pStyle w:val="FootnoteText"/>
      </w:pPr>
      <w:r>
        <w:rPr>
          <w:rStyle w:val="FootnoteReference"/>
        </w:rPr>
        <w:footnoteRef/>
      </w:r>
      <w:r>
        <w:t xml:space="preserve"> Ibid 122</w:t>
      </w:r>
    </w:p>
  </w:footnote>
  <w:footnote w:id="31">
    <w:p w14:paraId="2186894B" w14:textId="6482435C" w:rsidR="009B1F38" w:rsidRDefault="009B1F38">
      <w:pPr>
        <w:pStyle w:val="FootnoteText"/>
      </w:pPr>
      <w:r>
        <w:rPr>
          <w:rStyle w:val="FootnoteReference"/>
        </w:rPr>
        <w:footnoteRef/>
      </w:r>
      <w:r>
        <w:t xml:space="preserve"> Ibid. </w:t>
      </w:r>
    </w:p>
  </w:footnote>
  <w:footnote w:id="32">
    <w:p w14:paraId="7E147AFA" w14:textId="066B27A5" w:rsidR="006212EC" w:rsidRDefault="006212EC">
      <w:pPr>
        <w:pStyle w:val="FootnoteText"/>
      </w:pPr>
      <w:r>
        <w:rPr>
          <w:rStyle w:val="FootnoteReference"/>
        </w:rPr>
        <w:footnoteRef/>
      </w:r>
      <w:r>
        <w:t xml:space="preserve"> Ibid 34</w:t>
      </w:r>
    </w:p>
  </w:footnote>
  <w:footnote w:id="33">
    <w:p w14:paraId="682590C7" w14:textId="260AAD60" w:rsidR="006212EC" w:rsidRDefault="006212EC">
      <w:pPr>
        <w:pStyle w:val="FootnoteText"/>
      </w:pPr>
      <w:r>
        <w:rPr>
          <w:rStyle w:val="FootnoteReference"/>
        </w:rPr>
        <w:footnoteRef/>
      </w:r>
      <w:r>
        <w:t xml:space="preserve"> </w:t>
      </w:r>
      <w:bookmarkStart w:id="14" w:name="_Hlk36153155"/>
      <w:r>
        <w:t>English Bill of Rights 1689</w:t>
      </w:r>
      <w:bookmarkEnd w:id="14"/>
    </w:p>
  </w:footnote>
  <w:footnote w:id="34">
    <w:p w14:paraId="18632066" w14:textId="1B4E15E8" w:rsidR="006212EC" w:rsidRDefault="006212EC">
      <w:pPr>
        <w:pStyle w:val="FootnoteText"/>
      </w:pPr>
      <w:r>
        <w:rPr>
          <w:rStyle w:val="FootnoteReference"/>
        </w:rPr>
        <w:footnoteRef/>
      </w:r>
      <w:r>
        <w:t xml:space="preserve"> </w:t>
      </w:r>
      <w:bookmarkStart w:id="15" w:name="_Hlk36153180"/>
      <w:r>
        <w:t>Alfred Aldridge, Voltaire and the Century of Light (first published 2015, Princeton University Press) 134</w:t>
      </w:r>
      <w:bookmarkEnd w:id="15"/>
    </w:p>
  </w:footnote>
  <w:footnote w:id="35">
    <w:p w14:paraId="18C19D1B" w14:textId="517EB98A" w:rsidR="006212EC" w:rsidRDefault="006212EC">
      <w:pPr>
        <w:pStyle w:val="FootnoteText"/>
      </w:pPr>
      <w:r>
        <w:rPr>
          <w:rStyle w:val="FootnoteReference"/>
        </w:rPr>
        <w:footnoteRef/>
      </w:r>
      <w:r>
        <w:t xml:space="preserve"> Ibid </w:t>
      </w:r>
    </w:p>
  </w:footnote>
  <w:footnote w:id="36">
    <w:p w14:paraId="4B92057D" w14:textId="5E01E339" w:rsidR="006212EC" w:rsidRDefault="006212EC">
      <w:pPr>
        <w:pStyle w:val="FootnoteText"/>
      </w:pPr>
      <w:r>
        <w:rPr>
          <w:rStyle w:val="FootnoteReference"/>
        </w:rPr>
        <w:footnoteRef/>
      </w:r>
      <w:r>
        <w:t xml:space="preserve"> </w:t>
      </w:r>
      <w:bookmarkStart w:id="16" w:name="_Hlk36153205"/>
      <w:r>
        <w:t>Cesare di Baccaria, An essay on Crime and Punishments (first published 1767, J Almon) 161-170</w:t>
      </w:r>
      <w:bookmarkEnd w:id="16"/>
    </w:p>
  </w:footnote>
  <w:footnote w:id="37">
    <w:p w14:paraId="28D782FB" w14:textId="60DE3F3A" w:rsidR="006212EC" w:rsidRDefault="006212EC">
      <w:pPr>
        <w:pStyle w:val="FootnoteText"/>
      </w:pPr>
      <w:r>
        <w:rPr>
          <w:rStyle w:val="FootnoteReference"/>
        </w:rPr>
        <w:footnoteRef/>
      </w:r>
      <w:r>
        <w:t xml:space="preserve"> Ibid </w:t>
      </w:r>
    </w:p>
  </w:footnote>
  <w:footnote w:id="38">
    <w:p w14:paraId="52B87C7F" w14:textId="00F051C9" w:rsidR="006212EC" w:rsidRDefault="006212EC">
      <w:pPr>
        <w:pStyle w:val="FootnoteText"/>
      </w:pPr>
      <w:r>
        <w:rPr>
          <w:rStyle w:val="FootnoteReference"/>
        </w:rPr>
        <w:footnoteRef/>
      </w:r>
      <w:r>
        <w:t xml:space="preserve"> Ibid </w:t>
      </w:r>
    </w:p>
  </w:footnote>
  <w:footnote w:id="39">
    <w:p w14:paraId="27621FEE" w14:textId="08F52A4D" w:rsidR="006212EC" w:rsidRDefault="006212EC">
      <w:pPr>
        <w:pStyle w:val="FootnoteText"/>
      </w:pPr>
      <w:r>
        <w:rPr>
          <w:rStyle w:val="FootnoteReference"/>
        </w:rPr>
        <w:footnoteRef/>
      </w:r>
      <w:r>
        <w:t xml:space="preserve"> Ibid 122</w:t>
      </w:r>
    </w:p>
  </w:footnote>
  <w:footnote w:id="40">
    <w:p w14:paraId="5DE7E7CB" w14:textId="4339D156" w:rsidR="006212EC" w:rsidRDefault="006212EC">
      <w:pPr>
        <w:pStyle w:val="FootnoteText"/>
      </w:pPr>
      <w:r>
        <w:rPr>
          <w:rStyle w:val="FootnoteReference"/>
        </w:rPr>
        <w:footnoteRef/>
      </w:r>
      <w:r>
        <w:t xml:space="preserve"> Ibid 124</w:t>
      </w:r>
    </w:p>
  </w:footnote>
  <w:footnote w:id="41">
    <w:p w14:paraId="36D69638" w14:textId="7DFCECB6" w:rsidR="006212EC" w:rsidRDefault="006212EC">
      <w:pPr>
        <w:pStyle w:val="FootnoteText"/>
      </w:pPr>
      <w:r>
        <w:rPr>
          <w:rStyle w:val="FootnoteReference"/>
        </w:rPr>
        <w:footnoteRef/>
      </w:r>
      <w:r>
        <w:t xml:space="preserve"> </w:t>
      </w:r>
      <w:r>
        <w:t xml:space="preserve">Ibid </w:t>
      </w:r>
    </w:p>
  </w:footnote>
  <w:footnote w:id="42">
    <w:p w14:paraId="6F3D1230" w14:textId="6DD6B126" w:rsidR="006212EC" w:rsidRDefault="006212EC">
      <w:pPr>
        <w:pStyle w:val="FootnoteText"/>
      </w:pPr>
      <w:bookmarkStart w:id="17" w:name="_Hlk35966781"/>
      <w:r>
        <w:rPr>
          <w:rStyle w:val="FootnoteReference"/>
        </w:rPr>
        <w:footnoteRef/>
      </w:r>
      <w:r>
        <w:t xml:space="preserve"> Ibid 49</w:t>
      </w:r>
    </w:p>
  </w:footnote>
  <w:footnote w:id="43">
    <w:p w14:paraId="0E764BC5" w14:textId="71638F0A" w:rsidR="006212EC" w:rsidRDefault="006212EC">
      <w:pPr>
        <w:pStyle w:val="FootnoteText"/>
      </w:pPr>
      <w:r>
        <w:rPr>
          <w:rStyle w:val="FootnoteReference"/>
        </w:rPr>
        <w:footnoteRef/>
      </w:r>
      <w:r>
        <w:t xml:space="preserve"> </w:t>
      </w:r>
      <w:bookmarkStart w:id="18" w:name="_Hlk36153232"/>
      <w:r>
        <w:t>David Jardine, A Reading on the Use of Torture in the Criminal Law of England Previously to the Common Wealth (first published 1837, Baldwin and Cradock) 37</w:t>
      </w:r>
      <w:bookmarkEnd w:id="18"/>
    </w:p>
  </w:footnote>
  <w:footnote w:id="44">
    <w:p w14:paraId="5C2FEAEC" w14:textId="5FD8D646" w:rsidR="006212EC" w:rsidRDefault="006212EC">
      <w:pPr>
        <w:pStyle w:val="FootnoteText"/>
      </w:pPr>
      <w:r>
        <w:rPr>
          <w:rStyle w:val="FootnoteReference"/>
        </w:rPr>
        <w:footnoteRef/>
      </w:r>
      <w:r>
        <w:t xml:space="preserve"> ibid </w:t>
      </w:r>
    </w:p>
  </w:footnote>
  <w:footnote w:id="45">
    <w:p w14:paraId="4B7A128B" w14:textId="3C0D4BF8" w:rsidR="006212EC" w:rsidRDefault="006212EC">
      <w:pPr>
        <w:pStyle w:val="FootnoteText"/>
      </w:pPr>
      <w:r>
        <w:rPr>
          <w:rStyle w:val="FootnoteReference"/>
        </w:rPr>
        <w:footnoteRef/>
      </w:r>
      <w:r>
        <w:t xml:space="preserve"> </w:t>
      </w:r>
      <w:r w:rsidRPr="00612A50">
        <w:t xml:space="preserve">John Langbein, Torture and the Law of Proof (first published 2012, University of Chicago Press) </w:t>
      </w:r>
      <w:r>
        <w:t>36</w:t>
      </w:r>
    </w:p>
  </w:footnote>
  <w:footnote w:id="46">
    <w:p w14:paraId="7773AC49" w14:textId="180437ED" w:rsidR="006212EC" w:rsidRDefault="006212EC">
      <w:pPr>
        <w:pStyle w:val="FootnoteText"/>
      </w:pPr>
      <w:r>
        <w:rPr>
          <w:rStyle w:val="FootnoteReference"/>
        </w:rPr>
        <w:footnoteRef/>
      </w:r>
      <w:r>
        <w:t xml:space="preserve"> Ibid 57</w:t>
      </w:r>
    </w:p>
  </w:footnote>
  <w:footnote w:id="47">
    <w:p w14:paraId="26B19238" w14:textId="26E8A9FD" w:rsidR="006212EC" w:rsidRDefault="006212EC">
      <w:pPr>
        <w:pStyle w:val="FootnoteText"/>
      </w:pPr>
      <w:r>
        <w:rPr>
          <w:rStyle w:val="FootnoteReference"/>
        </w:rPr>
        <w:footnoteRef/>
      </w:r>
      <w:r>
        <w:t xml:space="preserve"> Ibid 58</w:t>
      </w:r>
    </w:p>
  </w:footnote>
  <w:footnote w:id="48">
    <w:p w14:paraId="5774A1D7" w14:textId="73214EE2" w:rsidR="006212EC" w:rsidRDefault="006212EC">
      <w:pPr>
        <w:pStyle w:val="FootnoteText"/>
      </w:pPr>
      <w:r>
        <w:rPr>
          <w:rStyle w:val="FootnoteReference"/>
        </w:rPr>
        <w:footnoteRef/>
      </w:r>
      <w:r>
        <w:t xml:space="preserve"> </w:t>
      </w:r>
      <w:r>
        <w:t xml:space="preserve">Ibid </w:t>
      </w:r>
    </w:p>
  </w:footnote>
  <w:footnote w:id="49">
    <w:p w14:paraId="4B4BADDA" w14:textId="2311B55F" w:rsidR="006212EC" w:rsidRDefault="006212EC">
      <w:pPr>
        <w:pStyle w:val="FootnoteText"/>
      </w:pPr>
      <w:bookmarkStart w:id="20" w:name="_Hlk35966818"/>
      <w:r>
        <w:rPr>
          <w:rStyle w:val="FootnoteReference"/>
        </w:rPr>
        <w:footnoteRef/>
      </w:r>
      <w:r>
        <w:t xml:space="preserve"> Ibid 53</w:t>
      </w:r>
    </w:p>
  </w:footnote>
  <w:footnote w:id="50">
    <w:p w14:paraId="6527149A" w14:textId="08C0DDE6" w:rsidR="006212EC" w:rsidRDefault="006212EC">
      <w:pPr>
        <w:pStyle w:val="FootnoteText"/>
      </w:pPr>
      <w:r>
        <w:rPr>
          <w:rStyle w:val="FootnoteReference"/>
        </w:rPr>
        <w:footnoteRef/>
      </w:r>
      <w:r>
        <w:t xml:space="preserve"> Ibid </w:t>
      </w:r>
    </w:p>
  </w:footnote>
  <w:footnote w:id="51">
    <w:p w14:paraId="2B3A3204" w14:textId="3CC53790" w:rsidR="006212EC" w:rsidRDefault="006212EC">
      <w:pPr>
        <w:pStyle w:val="FootnoteText"/>
      </w:pPr>
      <w:r>
        <w:rPr>
          <w:rStyle w:val="FootnoteReference"/>
        </w:rPr>
        <w:footnoteRef/>
      </w:r>
      <w:r>
        <w:t xml:space="preserve"> </w:t>
      </w:r>
      <w:bookmarkStart w:id="21" w:name="_Hlk36153297"/>
      <w:r>
        <w:t>Criminal Justice Act 2003, s134</w:t>
      </w:r>
    </w:p>
  </w:footnote>
  <w:footnote w:id="52">
    <w:p w14:paraId="59A5F1D4" w14:textId="0DA0F0B5" w:rsidR="006212EC" w:rsidRDefault="006212EC">
      <w:pPr>
        <w:pStyle w:val="FootnoteText"/>
      </w:pPr>
      <w:r>
        <w:rPr>
          <w:rStyle w:val="FootnoteReference"/>
        </w:rPr>
        <w:footnoteRef/>
      </w:r>
      <w:r>
        <w:t xml:space="preserve"> </w:t>
      </w:r>
      <w:r w:rsidRPr="00C561DC">
        <w:t>Police and Criminal Evidence Act</w:t>
      </w:r>
      <w:r>
        <w:t xml:space="preserve"> 1984, </w:t>
      </w:r>
      <w:r w:rsidRPr="00C561DC">
        <w:t>s76(2)a</w:t>
      </w:r>
    </w:p>
  </w:footnote>
  <w:footnote w:id="53">
    <w:p w14:paraId="1C1D3992" w14:textId="6E9C0BAA" w:rsidR="006212EC" w:rsidRDefault="006212EC" w:rsidP="00E97968">
      <w:pPr>
        <w:pStyle w:val="FootnoteText"/>
      </w:pPr>
      <w:r>
        <w:rPr>
          <w:rStyle w:val="FootnoteReference"/>
        </w:rPr>
        <w:footnoteRef/>
      </w:r>
      <w:r>
        <w:t xml:space="preserve"> </w:t>
      </w:r>
      <w:bookmarkStart w:id="22" w:name="_Hlk36153351"/>
      <w:proofErr w:type="spellStart"/>
      <w:r>
        <w:t>Rumyana</w:t>
      </w:r>
      <w:proofErr w:type="spellEnd"/>
      <w:r>
        <w:t xml:space="preserve"> </w:t>
      </w:r>
      <w:proofErr w:type="spellStart"/>
      <w:r>
        <w:t>Grozdanova</w:t>
      </w:r>
      <w:proofErr w:type="spellEnd"/>
      <w:r>
        <w:t>, ‘The UK and Diplomatic Assurance: A minimalist Approach towards the anti-torture norm ’ [2015] International Criminal Law Review 369</w:t>
      </w:r>
      <w:bookmarkEnd w:id="22"/>
    </w:p>
  </w:footnote>
  <w:footnote w:id="54">
    <w:p w14:paraId="6DB1E4FC" w14:textId="498590DF" w:rsidR="006212EC" w:rsidRDefault="006212EC">
      <w:pPr>
        <w:pStyle w:val="FootnoteText"/>
      </w:pPr>
      <w:r>
        <w:rPr>
          <w:rStyle w:val="FootnoteReference"/>
        </w:rPr>
        <w:footnoteRef/>
      </w:r>
      <w:r>
        <w:t xml:space="preserve"> </w:t>
      </w:r>
      <w:bookmarkStart w:id="23" w:name="_Hlk35966861"/>
      <w:bookmarkStart w:id="24" w:name="_Hlk36153386"/>
      <w:r>
        <w:t>Human Rights Act 1998, s3</w:t>
      </w:r>
      <w:bookmarkEnd w:id="24"/>
    </w:p>
  </w:footnote>
  <w:footnote w:id="55">
    <w:p w14:paraId="04730888" w14:textId="1334B644" w:rsidR="006212EC" w:rsidRDefault="006212EC" w:rsidP="00E97968">
      <w:pPr>
        <w:pStyle w:val="FootnoteText"/>
      </w:pPr>
      <w:r>
        <w:rPr>
          <w:rStyle w:val="FootnoteReference"/>
        </w:rPr>
        <w:footnoteRef/>
      </w:r>
      <w:r>
        <w:t xml:space="preserve"> </w:t>
      </w:r>
      <w:bookmarkStart w:id="25" w:name="_Hlk36153443"/>
      <w:r>
        <w:t>Ed Bates, ‘</w:t>
      </w:r>
      <w:r w:rsidRPr="00E97968">
        <w:t>The Al-</w:t>
      </w:r>
      <w:proofErr w:type="spellStart"/>
      <w:r w:rsidRPr="00E97968">
        <w:t>Adsani</w:t>
      </w:r>
      <w:proofErr w:type="spellEnd"/>
      <w:r w:rsidRPr="00E97968">
        <w:t xml:space="preserve"> Case, State Immunity and the International Legal Prohibition on Torture</w:t>
      </w:r>
      <w:r>
        <w:t>’ (2003)</w:t>
      </w:r>
    </w:p>
    <w:p w14:paraId="6F130F21" w14:textId="575F1961" w:rsidR="006212EC" w:rsidRDefault="006212EC" w:rsidP="00E97968">
      <w:pPr>
        <w:pStyle w:val="FootnoteText"/>
      </w:pPr>
      <w:r>
        <w:t xml:space="preserve">193 (3) </w:t>
      </w:r>
      <w:proofErr w:type="spellStart"/>
      <w:r>
        <w:t>HeinOnline</w:t>
      </w:r>
      <w:proofErr w:type="spellEnd"/>
      <w:r>
        <w:t xml:space="preserve"> </w:t>
      </w:r>
      <w:hyperlink r:id="rId2" w:history="1">
        <w:r w:rsidRPr="00255DE5">
          <w:rPr>
            <w:rStyle w:val="Hyperlink"/>
          </w:rPr>
          <w:t xml:space="preserve">https://heinonline.org/HOL/LandingPage?handle=hein.journals/hrlr3&amp;div=17&amp;id=&amp;page= </w:t>
        </w:r>
      </w:hyperlink>
      <w:r>
        <w:t xml:space="preserve"> accessed 25 March 2020</w:t>
      </w:r>
      <w:bookmarkEnd w:id="25"/>
    </w:p>
  </w:footnote>
  <w:footnote w:id="56">
    <w:p w14:paraId="0AF0E654" w14:textId="1707F751" w:rsidR="006212EC" w:rsidRDefault="006212EC">
      <w:pPr>
        <w:pStyle w:val="FootnoteText"/>
      </w:pPr>
      <w:r>
        <w:rPr>
          <w:rStyle w:val="FootnoteReference"/>
        </w:rPr>
        <w:footnoteRef/>
      </w:r>
      <w:r>
        <w:t xml:space="preserve"> </w:t>
      </w:r>
      <w:bookmarkStart w:id="26" w:name="_Hlk36153552"/>
      <w:r>
        <w:t xml:space="preserve">Omar Othman (Abu Qatada) V Secretary of state </w:t>
      </w:r>
      <w:r w:rsidRPr="0056268B">
        <w:t>[2008] EWCA Civ</w:t>
      </w:r>
      <w:r>
        <w:t>.</w:t>
      </w:r>
      <w:r w:rsidRPr="0056268B">
        <w:t xml:space="preserve"> 290</w:t>
      </w:r>
      <w:bookmarkEnd w:id="26"/>
    </w:p>
  </w:footnote>
  <w:footnote w:id="57">
    <w:p w14:paraId="2250392D" w14:textId="0EB90167" w:rsidR="006212EC" w:rsidRDefault="006212EC" w:rsidP="004A6045">
      <w:pPr>
        <w:pStyle w:val="FootnoteText"/>
      </w:pPr>
      <w:r>
        <w:rPr>
          <w:rStyle w:val="FootnoteReference"/>
        </w:rPr>
        <w:footnoteRef/>
      </w:r>
      <w:r>
        <w:t xml:space="preserve"> </w:t>
      </w:r>
      <w:bookmarkStart w:id="27" w:name="_Hlk36153579"/>
      <w:r>
        <w:t>Equality Human Rights, ‘Article 3: freedom from torture and inhumane treatment’ (Equality 2008)&lt;</w:t>
      </w:r>
      <w:hyperlink r:id="rId3" w:history="1">
        <w:r w:rsidRPr="00255DE5">
          <w:rPr>
            <w:rStyle w:val="Hyperlink"/>
          </w:rPr>
          <w:t>https://www.equalityhumanrights.com/en/human-rights-act/article-3-freedom-torture-and-inhuman-or-degrading-treatment</w:t>
        </w:r>
      </w:hyperlink>
      <w:r>
        <w:t>&gt; accessed 25</w:t>
      </w:r>
      <w:r w:rsidRPr="0056268B">
        <w:rPr>
          <w:vertAlign w:val="superscript"/>
        </w:rPr>
        <w:t>th</w:t>
      </w:r>
      <w:r>
        <w:t xml:space="preserve"> March 2020</w:t>
      </w:r>
      <w:bookmarkEnd w:id="27"/>
    </w:p>
  </w:footnote>
  <w:footnote w:id="58">
    <w:p w14:paraId="2225AEF0" w14:textId="054495C7" w:rsidR="006212EC" w:rsidRDefault="006212EC">
      <w:pPr>
        <w:pStyle w:val="FootnoteText"/>
      </w:pPr>
      <w:r>
        <w:rPr>
          <w:rStyle w:val="FootnoteReference"/>
        </w:rPr>
        <w:footnoteRef/>
      </w:r>
      <w:bookmarkStart w:id="29" w:name="_Hlk36153644"/>
      <w:r w:rsidRPr="00041E02">
        <w:t>[1996] 23 EHRR 413</w:t>
      </w:r>
      <w:bookmarkEnd w:id="29"/>
    </w:p>
  </w:footnote>
  <w:footnote w:id="59">
    <w:p w14:paraId="2E754D14" w14:textId="038E6736" w:rsidR="006212EC" w:rsidRDefault="006212EC">
      <w:pPr>
        <w:pStyle w:val="FootnoteText"/>
      </w:pPr>
      <w:r>
        <w:rPr>
          <w:rStyle w:val="FootnoteReference"/>
        </w:rPr>
        <w:footnoteRef/>
      </w:r>
      <w:r>
        <w:t xml:space="preserve"> </w:t>
      </w:r>
      <w:bookmarkStart w:id="30" w:name="_Hlk36153690"/>
      <w:r>
        <w:t>Alexander Horne and Melanie Gower, ‘Deportation of individuals who may face a risk of torture ’ [2012] House of Commons, Home Affairs Section 1-5</w:t>
      </w:r>
      <w:bookmarkEnd w:id="30"/>
    </w:p>
  </w:footnote>
  <w:footnote w:id="60">
    <w:p w14:paraId="77C347D1" w14:textId="533048F9" w:rsidR="006212EC" w:rsidRDefault="006212EC">
      <w:pPr>
        <w:pStyle w:val="FootnoteText"/>
      </w:pPr>
      <w:r>
        <w:rPr>
          <w:rStyle w:val="FootnoteReference"/>
        </w:rPr>
        <w:footnoteRef/>
      </w:r>
      <w:r>
        <w:t xml:space="preserve"> </w:t>
      </w:r>
      <w:bookmarkStart w:id="32" w:name="_Hlk36153770"/>
      <w:r w:rsidRPr="00A5636D">
        <w:t>[1998] UKHL 41</w:t>
      </w:r>
      <w:bookmarkEnd w:id="32"/>
    </w:p>
  </w:footnote>
  <w:footnote w:id="61">
    <w:p w14:paraId="4CDF30CC" w14:textId="7FBB4A1A" w:rsidR="006212EC" w:rsidRDefault="006212EC">
      <w:pPr>
        <w:pStyle w:val="FootnoteText"/>
      </w:pPr>
      <w:r>
        <w:rPr>
          <w:rStyle w:val="FootnoteReference"/>
        </w:rPr>
        <w:footnoteRef/>
      </w:r>
      <w:r>
        <w:t xml:space="preserve"> </w:t>
      </w:r>
      <w:bookmarkStart w:id="34" w:name="_Hlk36153837"/>
      <w:r w:rsidRPr="00A5636D">
        <w:t>[2006] 2 WLR 1424</w:t>
      </w:r>
      <w:bookmarkEnd w:id="34"/>
    </w:p>
  </w:footnote>
  <w:footnote w:id="62">
    <w:p w14:paraId="7AE57C53" w14:textId="3DDADD56" w:rsidR="006212EC" w:rsidRDefault="006212EC" w:rsidP="00A5636D">
      <w:pPr>
        <w:pStyle w:val="FootnoteText"/>
      </w:pPr>
      <w:r>
        <w:rPr>
          <w:rStyle w:val="FootnoteReference"/>
        </w:rPr>
        <w:footnoteRef/>
      </w:r>
      <w:r>
        <w:t xml:space="preserve"> </w:t>
      </w:r>
      <w:bookmarkStart w:id="35" w:name="_Hlk36153923"/>
      <w:r>
        <w:t>Oliver Jones, ‘Jones v Ministry of Interior of Kingdom of Saudi Arabia: An exercise in interpretation’(2007) 175 Singapore Yearbook of International Law and Contributors 163,175</w:t>
      </w:r>
    </w:p>
    <w:bookmarkEnd w:id="35"/>
  </w:footnote>
  <w:footnote w:id="63">
    <w:p w14:paraId="0EB1FFE7" w14:textId="2E39AA28" w:rsidR="006212EC" w:rsidRDefault="006212EC" w:rsidP="00897F91">
      <w:pPr>
        <w:pStyle w:val="FootnoteText"/>
      </w:pPr>
      <w:r>
        <w:rPr>
          <w:rStyle w:val="FootnoteReference"/>
        </w:rPr>
        <w:footnoteRef/>
      </w:r>
      <w:r>
        <w:t xml:space="preserve"> CJA 2003, s134 (4) </w:t>
      </w:r>
    </w:p>
  </w:footnote>
  <w:footnote w:id="64">
    <w:p w14:paraId="1E37E707" w14:textId="104C4CEE" w:rsidR="006212EC" w:rsidRDefault="006212EC">
      <w:pPr>
        <w:pStyle w:val="FootnoteText"/>
      </w:pPr>
      <w:r>
        <w:rPr>
          <w:rStyle w:val="FootnoteReference"/>
        </w:rPr>
        <w:footnoteRef/>
      </w:r>
      <w:r>
        <w:t xml:space="preserve"> </w:t>
      </w:r>
      <w:r w:rsidRPr="0033024E">
        <w:t>The meaning of “lawful authority, justification or excuse” is described in the statute, under (a), (b), (</w:t>
      </w:r>
      <w:proofErr w:type="spellStart"/>
      <w:r w:rsidRPr="0033024E">
        <w:t>i</w:t>
      </w:r>
      <w:proofErr w:type="spellEnd"/>
      <w:r w:rsidRPr="0033024E">
        <w:t>), (ii).</w:t>
      </w:r>
    </w:p>
    <w:bookmarkStart w:id="36" w:name="_Hlk35966961"/>
  </w:footnote>
  <w:footnote w:id="65">
    <w:p w14:paraId="75FFCF04" w14:textId="2D17275E" w:rsidR="006212EC" w:rsidRDefault="006212EC" w:rsidP="0074131A">
      <w:pPr>
        <w:pStyle w:val="FootnoteText"/>
      </w:pPr>
      <w:bookmarkStart w:id="37" w:name="_Hlk35966961"/>
      <w:r>
        <w:rPr>
          <w:rStyle w:val="FootnoteReference"/>
        </w:rPr>
        <w:footnoteRef/>
      </w:r>
      <w:r>
        <w:t xml:space="preserve"> </w:t>
      </w:r>
      <w:bookmarkStart w:id="38" w:name="_Hlk36153946"/>
      <w:r>
        <w:t>Steven Greer, ‘Is the Prohibition against Torture, Cruel, Inhuman and Degrading Treatment Really ‘Absolute’ in International Human Rights Law?’  (2015) 15(1) Human Rights Review 101,137</w:t>
      </w:r>
      <w:bookmarkEnd w:id="38"/>
    </w:p>
  </w:footnote>
  <w:footnote w:id="66">
    <w:p w14:paraId="786B76BA" w14:textId="0593B41D" w:rsidR="006212EC" w:rsidRDefault="006212EC">
      <w:pPr>
        <w:pStyle w:val="FootnoteText"/>
      </w:pPr>
      <w:r>
        <w:rPr>
          <w:rStyle w:val="FootnoteReference"/>
        </w:rPr>
        <w:footnoteRef/>
      </w:r>
      <w:r>
        <w:t xml:space="preserve"> Ibid </w:t>
      </w:r>
    </w:p>
    <w:bookmarkStart w:id="39" w:name="_Hlk35966992"/>
  </w:footnote>
  <w:footnote w:id="67">
    <w:p w14:paraId="50828399" w14:textId="29FDA06C" w:rsidR="006212EC" w:rsidRDefault="006212EC">
      <w:pPr>
        <w:pStyle w:val="FootnoteText"/>
      </w:pPr>
      <w:bookmarkStart w:id="40" w:name="_Hlk35966992"/>
      <w:r>
        <w:rPr>
          <w:rStyle w:val="FootnoteReference"/>
        </w:rPr>
        <w:footnoteRef/>
      </w:r>
      <w:r>
        <w:t xml:space="preserve"> </w:t>
      </w:r>
      <w:proofErr w:type="spellStart"/>
      <w:r w:rsidR="00DB0577">
        <w:t>Ibid.</w:t>
      </w:r>
      <w:r w:rsidRPr="00B666E0">
        <w:t>Nuremberg</w:t>
      </w:r>
      <w:proofErr w:type="spellEnd"/>
      <w:r w:rsidRPr="00B666E0">
        <w:t xml:space="preserve"> Trials, </w:t>
      </w:r>
      <w:r>
        <w:t xml:space="preserve">where </w:t>
      </w:r>
      <w:r w:rsidRPr="00B666E0">
        <w:t xml:space="preserve">Nazi soldiers were just </w:t>
      </w:r>
      <w:r w:rsidR="00DB0577">
        <w:t>‘</w:t>
      </w:r>
      <w:r w:rsidRPr="00B666E0">
        <w:t xml:space="preserve">following </w:t>
      </w:r>
      <w:proofErr w:type="gramStart"/>
      <w:r w:rsidRPr="00B666E0">
        <w:t>orders</w:t>
      </w:r>
      <w:r w:rsidR="00DB0577">
        <w:t>’</w:t>
      </w:r>
      <w:proofErr w:type="gramEnd"/>
      <w:r w:rsidRPr="00B666E0">
        <w:t>.</w:t>
      </w:r>
    </w:p>
  </w:footnote>
  <w:footnote w:id="68">
    <w:p w14:paraId="7E1950AA" w14:textId="7EAB0B63" w:rsidR="006212EC" w:rsidRDefault="006212EC" w:rsidP="004B141A">
      <w:pPr>
        <w:pStyle w:val="FootnoteText"/>
      </w:pPr>
      <w:r>
        <w:rPr>
          <w:rStyle w:val="FootnoteReference"/>
        </w:rPr>
        <w:footnoteRef/>
      </w:r>
      <w:r>
        <w:t xml:space="preserve"> </w:t>
      </w:r>
      <w:bookmarkStart w:id="41" w:name="_Hlk36153974"/>
      <w:proofErr w:type="spellStart"/>
      <w:r w:rsidRPr="004B141A">
        <w:t>Mariagiulia</w:t>
      </w:r>
      <w:proofErr w:type="spellEnd"/>
      <w:r w:rsidRPr="004B141A">
        <w:t xml:space="preserve"> </w:t>
      </w:r>
      <w:proofErr w:type="spellStart"/>
      <w:r w:rsidRPr="004B141A">
        <w:t>Giuffré</w:t>
      </w:r>
      <w:proofErr w:type="spellEnd"/>
      <w:r>
        <w:t xml:space="preserve"> , ‘</w:t>
      </w:r>
      <w:r w:rsidRPr="004B141A">
        <w:t>An Appraisal of Diplomatic Assurances One Year after Othman (Abu Qatada) v United Kingdom</w:t>
      </w:r>
      <w:r>
        <w:t>’(2012) 2(2) International Human Rights Law Review 266,293</w:t>
      </w:r>
      <w:bookmarkEnd w:id="41"/>
    </w:p>
  </w:footnote>
  <w:footnote w:id="69">
    <w:p w14:paraId="62BD1499" w14:textId="2B5D41C8" w:rsidR="006212EC" w:rsidRDefault="006212EC">
      <w:pPr>
        <w:pStyle w:val="FootnoteText"/>
      </w:pPr>
      <w:r>
        <w:rPr>
          <w:rStyle w:val="FootnoteReference"/>
        </w:rPr>
        <w:footnoteRef/>
      </w:r>
      <w:r>
        <w:t xml:space="preserve"> Ibid </w:t>
      </w:r>
    </w:p>
  </w:footnote>
  <w:footnote w:id="70">
    <w:p w14:paraId="5BDEF6CE" w14:textId="717B9704" w:rsidR="006212EC" w:rsidRDefault="006212EC">
      <w:pPr>
        <w:pStyle w:val="FootnoteText"/>
      </w:pPr>
      <w:r>
        <w:rPr>
          <w:rStyle w:val="FootnoteReference"/>
        </w:rPr>
        <w:footnoteRef/>
      </w:r>
      <w:r>
        <w:t xml:space="preserve"> Ibid </w:t>
      </w:r>
    </w:p>
  </w:footnote>
  <w:footnote w:id="71">
    <w:p w14:paraId="1A93C2DF" w14:textId="631A84BC" w:rsidR="006212EC" w:rsidRDefault="006212EC">
      <w:pPr>
        <w:pStyle w:val="FootnoteText"/>
      </w:pPr>
      <w:r>
        <w:rPr>
          <w:rStyle w:val="FootnoteReference"/>
        </w:rPr>
        <w:footnoteRef/>
      </w:r>
      <w:r>
        <w:t xml:space="preserve"> </w:t>
      </w:r>
      <w:bookmarkStart w:id="43" w:name="_Hlk36154040"/>
      <w:r w:rsidRPr="00B47FDE">
        <w:t>[2004] UKHL 56</w:t>
      </w:r>
    </w:p>
    <w:bookmarkEnd w:id="43"/>
  </w:footnote>
  <w:footnote w:id="72">
    <w:p w14:paraId="5C5645AC" w14:textId="456E5C23" w:rsidR="006212EC" w:rsidRDefault="006212EC">
      <w:pPr>
        <w:pStyle w:val="FootnoteText"/>
      </w:pPr>
      <w:r>
        <w:rPr>
          <w:rStyle w:val="FootnoteReference"/>
        </w:rPr>
        <w:footnoteRef/>
      </w:r>
      <w:r>
        <w:t xml:space="preserve"> </w:t>
      </w:r>
      <w:bookmarkStart w:id="45" w:name="_Hlk36154102"/>
      <w:r w:rsidRPr="00B47FDE">
        <w:t>(No 2) [2005] UKHL 71</w:t>
      </w:r>
      <w:bookmarkEnd w:id="45"/>
    </w:p>
  </w:footnote>
  <w:footnote w:id="73">
    <w:p w14:paraId="76E7BF56" w14:textId="12C7777D" w:rsidR="006212EC" w:rsidRDefault="006212EC" w:rsidP="00510527">
      <w:pPr>
        <w:pStyle w:val="FootnoteText"/>
      </w:pPr>
      <w:r>
        <w:rPr>
          <w:rStyle w:val="FootnoteReference"/>
        </w:rPr>
        <w:footnoteRef/>
      </w:r>
      <w:r>
        <w:t xml:space="preserve"> </w:t>
      </w:r>
      <w:bookmarkStart w:id="46" w:name="_Hlk36154146"/>
      <w:r>
        <w:t>Redress, ‘UK courts rule torture ‘evidence’ is admissible’ (Redress, 1 May 2004) &lt;</w:t>
      </w:r>
      <w:r w:rsidRPr="00510527">
        <w:t xml:space="preserve"> https://redress.org/news/uk-courts-rule-torture-evidence-is-admissible/</w:t>
      </w:r>
      <w:r>
        <w:t>&gt; accessed 25 March  2020</w:t>
      </w:r>
    </w:p>
    <w:bookmarkStart w:id="47" w:name="_Hlk35967008"/>
    <w:bookmarkEnd w:id="46"/>
  </w:footnote>
  <w:footnote w:id="74">
    <w:p w14:paraId="4BD02BC0" w14:textId="6A7EC6B2" w:rsidR="006212EC" w:rsidRDefault="006212EC" w:rsidP="0019627B">
      <w:bookmarkStart w:id="48" w:name="_Hlk35967008"/>
      <w:r>
        <w:rPr>
          <w:rStyle w:val="FootnoteReference"/>
        </w:rPr>
        <w:footnoteRef/>
      </w:r>
      <w:r>
        <w:t xml:space="preserve"> </w:t>
      </w:r>
      <w:bookmarkStart w:id="49" w:name="_Hlk36154190"/>
      <w:bookmarkEnd w:id="48"/>
      <w:r>
        <w:t xml:space="preserve">Orla Veale Martin, ‘ </w:t>
      </w:r>
      <w:r w:rsidRPr="00207A2E">
        <w:t>An Evaluation of the Use of Memorandums of Understanding in the Removal of Terror Suspects and the Prohibition against Non-Refoulment</w:t>
      </w:r>
      <w:r>
        <w:t>’ (2007) &lt;</w:t>
      </w:r>
      <w:r w:rsidRPr="00207A2E">
        <w:t xml:space="preserve"> https://heinonline.org/HOL/LandingPage?handle=hein.journals/hiblj7&amp;div=7&amp;id=&amp;page=</w:t>
      </w:r>
      <w:r>
        <w:t xml:space="preserve"> &gt;accessed 25 March 2020</w:t>
      </w:r>
      <w:bookmarkEnd w:id="49"/>
    </w:p>
  </w:footnote>
  <w:footnote w:id="75">
    <w:p w14:paraId="21B14E37" w14:textId="63E556D5" w:rsidR="006212EC" w:rsidRDefault="006212EC">
      <w:pPr>
        <w:pStyle w:val="FootnoteText"/>
      </w:pPr>
      <w:bookmarkStart w:id="50" w:name="_Hlk35967052"/>
      <w:r>
        <w:rPr>
          <w:rStyle w:val="FootnoteReference"/>
        </w:rPr>
        <w:footnoteRef/>
      </w:r>
      <w:r>
        <w:t xml:space="preserve"> </w:t>
      </w:r>
      <w:bookmarkStart w:id="51" w:name="_Hlk36154216"/>
      <w:r w:rsidRPr="00B47FDE">
        <w:t>RB and Another v Secretary of State for the Home Department; OO (Jordan) v Same; MT (Algeria) v Same</w:t>
      </w:r>
      <w:r>
        <w:t xml:space="preserve"> </w:t>
      </w:r>
      <w:r w:rsidRPr="0019627B">
        <w:t>[2009] UKHL 10</w:t>
      </w:r>
      <w:r>
        <w:t>.</w:t>
      </w:r>
      <w:bookmarkEnd w:id="51"/>
    </w:p>
  </w:footnote>
  <w:footnote w:id="76">
    <w:p w14:paraId="23154DBC" w14:textId="7C5C183A" w:rsidR="006212EC" w:rsidRDefault="006212EC">
      <w:pPr>
        <w:pStyle w:val="FootnoteText"/>
      </w:pPr>
      <w:r>
        <w:rPr>
          <w:rStyle w:val="FootnoteReference"/>
        </w:rPr>
        <w:footnoteRef/>
      </w:r>
      <w:r>
        <w:t xml:space="preserve"> ibid</w:t>
      </w:r>
    </w:p>
    <w:p w14:paraId="73A50DD0" w14:textId="57FE58BB" w:rsidR="006212EC" w:rsidRDefault="006212EC">
      <w:pPr>
        <w:pStyle w:val="FootnoteText"/>
      </w:pPr>
    </w:p>
  </w:footnote>
  <w:footnote w:id="77">
    <w:p w14:paraId="381D8B8F" w14:textId="1AC582E3" w:rsidR="006212EC" w:rsidRDefault="006212EC" w:rsidP="008F0D7B">
      <w:pPr>
        <w:pStyle w:val="FootnoteText"/>
      </w:pPr>
      <w:bookmarkStart w:id="52" w:name="_Hlk36154247"/>
      <w:r>
        <w:rPr>
          <w:rStyle w:val="FootnoteReference"/>
        </w:rPr>
        <w:footnoteRef/>
      </w:r>
      <w:r>
        <w:t xml:space="preserve"> </w:t>
      </w:r>
      <w:r w:rsidRPr="00F964C4">
        <w:t>European Convention of Human Rights 1950 , Article 3</w:t>
      </w:r>
    </w:p>
  </w:footnote>
  <w:footnote w:id="78">
    <w:p w14:paraId="57319C7C" w14:textId="662FCAC5" w:rsidR="006212EC" w:rsidRDefault="006212EC" w:rsidP="00F964C4">
      <w:pPr>
        <w:pStyle w:val="FootnoteText"/>
      </w:pPr>
      <w:r>
        <w:rPr>
          <w:rStyle w:val="FootnoteReference"/>
        </w:rPr>
        <w:footnoteRef/>
      </w:r>
      <w:r>
        <w:t xml:space="preserve"> Universal Declaration of Human Rights 1948, Article 5.</w:t>
      </w:r>
    </w:p>
  </w:footnote>
  <w:footnote w:id="79">
    <w:p w14:paraId="5B611F34" w14:textId="584184F1" w:rsidR="006212EC" w:rsidRDefault="006212EC">
      <w:pPr>
        <w:pStyle w:val="FootnoteText"/>
      </w:pPr>
      <w:r>
        <w:rPr>
          <w:rStyle w:val="FootnoteReference"/>
        </w:rPr>
        <w:footnoteRef/>
      </w:r>
      <w:r>
        <w:t xml:space="preserve"> International Covenant on Civil and Political Rights, Article 7, Part 3.</w:t>
      </w:r>
    </w:p>
  </w:footnote>
  <w:footnote w:id="80">
    <w:p w14:paraId="09DC119D" w14:textId="49D98037" w:rsidR="006212EC" w:rsidRDefault="006212EC" w:rsidP="00837D93">
      <w:pPr>
        <w:pStyle w:val="FootnoteText"/>
      </w:pPr>
      <w:r>
        <w:rPr>
          <w:rStyle w:val="FootnoteReference"/>
        </w:rPr>
        <w:footnoteRef/>
      </w:r>
      <w:r>
        <w:t xml:space="preserve"> </w:t>
      </w:r>
      <w:bookmarkStart w:id="53" w:name="_Hlk36154324"/>
      <w:r w:rsidRPr="00F964C4">
        <w:t xml:space="preserve">Kitenge v Democratic Republic of Congo CCPR/C/110/D/1890/2009 </w:t>
      </w:r>
      <w:bookmarkEnd w:id="53"/>
      <w:r w:rsidRPr="00F964C4">
        <w:t xml:space="preserve">and </w:t>
      </w:r>
      <w:bookmarkStart w:id="54" w:name="_Hlk36154297"/>
      <w:r w:rsidRPr="00F964C4">
        <w:t>General Comment of the Human Rights Committee, no. 20 (1992) [3], Art10, UNCAT.</w:t>
      </w:r>
      <w:bookmarkEnd w:id="54"/>
    </w:p>
  </w:footnote>
  <w:footnote w:id="81">
    <w:p w14:paraId="3C86C669" w14:textId="19FF8111" w:rsidR="006212EC" w:rsidRDefault="006212EC" w:rsidP="00F964C4">
      <w:pPr>
        <w:pStyle w:val="FootnoteText"/>
      </w:pPr>
      <w:r>
        <w:rPr>
          <w:rStyle w:val="FootnoteReference"/>
        </w:rPr>
        <w:footnoteRef/>
      </w:r>
      <w:r>
        <w:t xml:space="preserve"> </w:t>
      </w:r>
      <w:bookmarkStart w:id="55" w:name="_Hlk36154335"/>
      <w:r>
        <w:t>Geneva Convention 1949</w:t>
      </w:r>
      <w:bookmarkEnd w:id="55"/>
    </w:p>
  </w:footnote>
  <w:footnote w:id="82">
    <w:p w14:paraId="7DB0146B" w14:textId="7D2B0C9D" w:rsidR="006212EC" w:rsidRDefault="006212EC">
      <w:pPr>
        <w:pStyle w:val="FootnoteText"/>
      </w:pPr>
      <w:bookmarkStart w:id="56" w:name="_Hlk35967075"/>
      <w:r>
        <w:rPr>
          <w:rStyle w:val="FootnoteReference"/>
        </w:rPr>
        <w:footnoteRef/>
      </w:r>
      <w:r>
        <w:t xml:space="preserve"> </w:t>
      </w:r>
      <w:bookmarkStart w:id="57" w:name="_Hlk36154355"/>
      <w:proofErr w:type="spellStart"/>
      <w:r>
        <w:t>Tomasi</w:t>
      </w:r>
      <w:proofErr w:type="spellEnd"/>
      <w:r>
        <w:t xml:space="preserve"> v France (12850/87) (1992) 15 EHRR 1</w:t>
      </w:r>
      <w:bookmarkEnd w:id="57"/>
      <w:r>
        <w:t xml:space="preserve">, terrorism cannot justify the torture. </w:t>
      </w:r>
    </w:p>
  </w:footnote>
  <w:footnote w:id="83">
    <w:p w14:paraId="4ABB7C47" w14:textId="78DC0DF8" w:rsidR="006212EC" w:rsidRDefault="006212EC" w:rsidP="001919FE">
      <w:pPr>
        <w:pStyle w:val="FootnoteText"/>
      </w:pPr>
      <w:r>
        <w:rPr>
          <w:rStyle w:val="FootnoteReference"/>
        </w:rPr>
        <w:footnoteRef/>
      </w:r>
      <w:r>
        <w:t xml:space="preserve"> </w:t>
      </w:r>
      <w:bookmarkStart w:id="58" w:name="_Hlk36154375"/>
      <w:r w:rsidRPr="001919FE">
        <w:t>Manfred Nowak, Elizabeth McArthur</w:t>
      </w:r>
      <w:r>
        <w:t>, The United Nations Convention Against Torture: A commentary (first published 2008, OUP) 268</w:t>
      </w:r>
      <w:bookmarkEnd w:id="58"/>
    </w:p>
  </w:footnote>
  <w:footnote w:id="84">
    <w:p w14:paraId="65F7E10D" w14:textId="4664907B" w:rsidR="006212EC" w:rsidRDefault="006212EC" w:rsidP="003D7D19">
      <w:pPr>
        <w:pStyle w:val="FootnoteText"/>
      </w:pPr>
      <w:bookmarkStart w:id="60" w:name="_Hlk35967121"/>
      <w:r>
        <w:rPr>
          <w:rStyle w:val="FootnoteReference"/>
        </w:rPr>
        <w:footnoteRef/>
      </w:r>
      <w:r>
        <w:t xml:space="preserve"> </w:t>
      </w:r>
      <w:bookmarkStart w:id="61" w:name="_Hlk36154408"/>
      <w:r>
        <w:t>CCPR/C/112/D/1906/2009</w:t>
      </w:r>
      <w:bookmarkEnd w:id="61"/>
    </w:p>
  </w:footnote>
  <w:footnote w:id="85">
    <w:p w14:paraId="045E06C6" w14:textId="410DB84F" w:rsidR="006212EC" w:rsidRDefault="006212EC">
      <w:pPr>
        <w:pStyle w:val="FootnoteText"/>
      </w:pPr>
      <w:r>
        <w:rPr>
          <w:rStyle w:val="FootnoteReference"/>
        </w:rPr>
        <w:footnoteRef/>
      </w:r>
      <w:r>
        <w:t xml:space="preserve"> CCPR/C/110/D/1890/2009</w:t>
      </w:r>
    </w:p>
  </w:footnote>
  <w:footnote w:id="86">
    <w:p w14:paraId="45309A82" w14:textId="00416FC4" w:rsidR="006212EC" w:rsidRDefault="006212EC" w:rsidP="003D7D19">
      <w:pPr>
        <w:pStyle w:val="FootnoteText"/>
      </w:pPr>
      <w:r>
        <w:rPr>
          <w:rStyle w:val="FootnoteReference"/>
        </w:rPr>
        <w:footnoteRef/>
      </w:r>
      <w:r>
        <w:t xml:space="preserve"> </w:t>
      </w:r>
      <w:bookmarkStart w:id="62" w:name="_Hlk36154440"/>
      <w:proofErr w:type="spellStart"/>
      <w:r>
        <w:t>Songi</w:t>
      </w:r>
      <w:proofErr w:type="spellEnd"/>
      <w:r>
        <w:t xml:space="preserve"> v Canada CAT/C/39/D/297/2006, para 6.14  </w:t>
      </w:r>
      <w:bookmarkEnd w:id="62"/>
      <w:r>
        <w:tab/>
        <w:t xml:space="preserve">  </w:t>
      </w:r>
    </w:p>
  </w:footnote>
  <w:footnote w:id="87">
    <w:p w14:paraId="0EA3E1EC" w14:textId="28310E27" w:rsidR="006212EC" w:rsidRDefault="006212EC">
      <w:pPr>
        <w:pStyle w:val="FootnoteText"/>
      </w:pPr>
      <w:r>
        <w:rPr>
          <w:rStyle w:val="FootnoteReference"/>
        </w:rPr>
        <w:footnoteRef/>
      </w:r>
      <w:r>
        <w:t xml:space="preserve"> </w:t>
      </w:r>
      <w:bookmarkStart w:id="63" w:name="_Hlk36154487"/>
      <w:r>
        <w:t>European Convention of Human Rights, Art6: right to a fair trial</w:t>
      </w:r>
      <w:bookmarkEnd w:id="63"/>
      <w:r>
        <w:t xml:space="preserve">. </w:t>
      </w:r>
      <w:bookmarkStart w:id="64" w:name="_Hlk36154460"/>
      <w:r>
        <w:t>Heaney v Ireland (</w:t>
      </w:r>
      <w:r w:rsidRPr="009014E2">
        <w:t>Application no. 34720/97</w:t>
      </w:r>
      <w:r>
        <w:t>).</w:t>
      </w:r>
    </w:p>
    <w:bookmarkEnd w:id="64"/>
  </w:footnote>
  <w:footnote w:id="88">
    <w:p w14:paraId="11965119" w14:textId="257838C6" w:rsidR="006212EC" w:rsidRDefault="006212EC" w:rsidP="009014E2">
      <w:pPr>
        <w:pStyle w:val="FootnoteText"/>
      </w:pPr>
      <w:r>
        <w:rPr>
          <w:rStyle w:val="FootnoteReference"/>
        </w:rPr>
        <w:footnoteRef/>
      </w:r>
      <w:r>
        <w:t xml:space="preserve"> </w:t>
      </w:r>
      <w:bookmarkStart w:id="65" w:name="_Hlk36154515"/>
      <w:r>
        <w:t xml:space="preserve">PHR Toolkits, ‘Prohibition of torture in International Law’ (PHR Toolkits, 1 May 2010) &lt; </w:t>
      </w:r>
      <w:r w:rsidRPr="009014E2">
        <w:t>http://phrtoolkits.org/toolkits/istanbul-protocol-model-medical-curriculum/module-1-international-legal-standards-overview/torture/prohibition-of-torture-in-international-law/</w:t>
      </w:r>
      <w:r>
        <w:t xml:space="preserve"> &gt; accessed 26 March 2020</w:t>
      </w:r>
      <w:bookmarkEnd w:id="65"/>
    </w:p>
    <w:p w14:paraId="4259E6C2" w14:textId="0BD8A749" w:rsidR="006212EC" w:rsidRDefault="006212EC">
      <w:pPr>
        <w:pStyle w:val="FootnoteText"/>
      </w:pPr>
      <w:bookmarkStart w:id="66" w:name="_Hlk36154565"/>
      <w:proofErr w:type="spellStart"/>
      <w:r>
        <w:t>Abdelmalek</w:t>
      </w:r>
      <w:proofErr w:type="spellEnd"/>
      <w:r>
        <w:t xml:space="preserve"> v Algeria CAT/C/52/D/402/2009 </w:t>
      </w:r>
      <w:bookmarkEnd w:id="66"/>
      <w:r>
        <w:t xml:space="preserve">and </w:t>
      </w:r>
      <w:bookmarkStart w:id="67" w:name="_Hlk36154580"/>
      <w:r>
        <w:t xml:space="preserve">Ali </w:t>
      </w:r>
      <w:proofErr w:type="spellStart"/>
      <w:r>
        <w:t>Aarass</w:t>
      </w:r>
      <w:proofErr w:type="spellEnd"/>
      <w:r>
        <w:t xml:space="preserve"> v Morocco CAT/C/52/D/447/2011</w:t>
      </w:r>
      <w:bookmarkEnd w:id="67"/>
    </w:p>
  </w:footnote>
  <w:footnote w:id="89">
    <w:p w14:paraId="0C748B2E" w14:textId="548DD3C7" w:rsidR="006212EC" w:rsidRDefault="006212EC">
      <w:pPr>
        <w:pStyle w:val="FootnoteText"/>
      </w:pPr>
      <w:r>
        <w:rPr>
          <w:rStyle w:val="FootnoteReference"/>
        </w:rPr>
        <w:footnoteRef/>
      </w:r>
      <w:r>
        <w:t xml:space="preserve"> </w:t>
      </w:r>
      <w:bookmarkStart w:id="68" w:name="_Hlk36154596"/>
      <w:r>
        <w:t>Garcia Ruiz v Spain (</w:t>
      </w:r>
      <w:r w:rsidRPr="009014E2">
        <w:t>App No 30544/96</w:t>
      </w:r>
      <w:r>
        <w:t>)</w:t>
      </w:r>
      <w:bookmarkEnd w:id="68"/>
    </w:p>
  </w:footnote>
  <w:footnote w:id="90">
    <w:p w14:paraId="53C6E353" w14:textId="18AC5C27" w:rsidR="006212EC" w:rsidRPr="004D7FDB" w:rsidRDefault="006212EC">
      <w:pPr>
        <w:pStyle w:val="FootnoteText"/>
        <w:rPr>
          <w:sz w:val="18"/>
          <w:szCs w:val="18"/>
        </w:rPr>
      </w:pPr>
      <w:r>
        <w:rPr>
          <w:rStyle w:val="FootnoteReference"/>
        </w:rPr>
        <w:footnoteRef/>
      </w:r>
      <w:r>
        <w:t xml:space="preserve"> </w:t>
      </w:r>
      <w:r w:rsidRPr="004D7FDB">
        <w:rPr>
          <w:sz w:val="18"/>
          <w:szCs w:val="18"/>
        </w:rPr>
        <w:t>Ibid, ‘[torture] not including pain or suffering arising only from, inherent in, or in incidental to, lawful sanctions.’</w:t>
      </w:r>
    </w:p>
  </w:footnote>
  <w:footnote w:id="91">
    <w:p w14:paraId="38640B38" w14:textId="47C96411" w:rsidR="006212EC" w:rsidRPr="004D7FDB" w:rsidRDefault="006212EC" w:rsidP="00765F87">
      <w:pPr>
        <w:rPr>
          <w:sz w:val="20"/>
          <w:szCs w:val="20"/>
        </w:rPr>
      </w:pPr>
      <w:r w:rsidRPr="004D7FDB">
        <w:rPr>
          <w:rStyle w:val="FootnoteReference"/>
          <w:sz w:val="20"/>
          <w:szCs w:val="20"/>
        </w:rPr>
        <w:footnoteRef/>
      </w:r>
      <w:r w:rsidRPr="004D7FDB">
        <w:rPr>
          <w:sz w:val="20"/>
          <w:szCs w:val="20"/>
        </w:rPr>
        <w:t xml:space="preserve"> </w:t>
      </w:r>
      <w:bookmarkStart w:id="69" w:name="_Hlk36154622"/>
      <w:proofErr w:type="spellStart"/>
      <w:r w:rsidRPr="004D7FDB">
        <w:rPr>
          <w:sz w:val="18"/>
          <w:szCs w:val="18"/>
        </w:rPr>
        <w:t>Sifris</w:t>
      </w:r>
      <w:proofErr w:type="spellEnd"/>
      <w:r w:rsidRPr="004D7FDB">
        <w:rPr>
          <w:sz w:val="18"/>
          <w:szCs w:val="18"/>
        </w:rPr>
        <w:t>, Freedom, Torture and International Human Rights: Challenging the Masculinisation of Torture. (first published 2013, Routledge). p. 145.</w:t>
      </w:r>
      <w:bookmarkEnd w:id="69"/>
    </w:p>
  </w:footnote>
  <w:footnote w:id="92">
    <w:p w14:paraId="6144170C" w14:textId="78DEB9C3" w:rsidR="006212EC" w:rsidRPr="004D7FDB" w:rsidRDefault="006212EC">
      <w:pPr>
        <w:pStyle w:val="FootnoteText"/>
        <w:rPr>
          <w:sz w:val="18"/>
          <w:szCs w:val="18"/>
        </w:rPr>
      </w:pPr>
      <w:r w:rsidRPr="004D7FDB">
        <w:rPr>
          <w:rStyle w:val="FootnoteReference"/>
          <w:sz w:val="18"/>
          <w:szCs w:val="18"/>
        </w:rPr>
        <w:footnoteRef/>
      </w:r>
      <w:r w:rsidRPr="004D7FDB">
        <w:rPr>
          <w:sz w:val="18"/>
          <w:szCs w:val="18"/>
        </w:rPr>
        <w:t xml:space="preserve"> Ibid </w:t>
      </w:r>
    </w:p>
  </w:footnote>
  <w:footnote w:id="93">
    <w:p w14:paraId="4416CD85" w14:textId="08F6A0D3" w:rsidR="006212EC" w:rsidRPr="004D7FDB" w:rsidRDefault="006212EC">
      <w:pPr>
        <w:pStyle w:val="FootnoteText"/>
        <w:rPr>
          <w:sz w:val="18"/>
          <w:szCs w:val="18"/>
        </w:rPr>
      </w:pPr>
      <w:r w:rsidRPr="004D7FDB">
        <w:rPr>
          <w:rStyle w:val="FootnoteReference"/>
          <w:sz w:val="18"/>
          <w:szCs w:val="18"/>
        </w:rPr>
        <w:footnoteRef/>
      </w:r>
      <w:r w:rsidRPr="004D7FDB">
        <w:rPr>
          <w:sz w:val="18"/>
          <w:szCs w:val="18"/>
        </w:rPr>
        <w:t xml:space="preserve"> As to whether it falls into ‘lawful sanctions’. </w:t>
      </w:r>
    </w:p>
  </w:footnote>
  <w:footnote w:id="94">
    <w:p w14:paraId="48D2C151" w14:textId="4FE18087" w:rsidR="006212EC" w:rsidRPr="004D7FDB" w:rsidRDefault="006212EC">
      <w:pPr>
        <w:pStyle w:val="FootnoteText"/>
        <w:rPr>
          <w:sz w:val="18"/>
          <w:szCs w:val="18"/>
        </w:rPr>
      </w:pPr>
      <w:r w:rsidRPr="004D7FDB">
        <w:rPr>
          <w:rStyle w:val="FootnoteReference"/>
          <w:sz w:val="18"/>
          <w:szCs w:val="18"/>
        </w:rPr>
        <w:footnoteRef/>
      </w:r>
      <w:r w:rsidRPr="004D7FDB">
        <w:rPr>
          <w:sz w:val="18"/>
          <w:szCs w:val="18"/>
        </w:rPr>
        <w:t xml:space="preserve"> [</w:t>
      </w:r>
      <w:bookmarkStart w:id="71" w:name="_Hlk36154664"/>
      <w:r w:rsidRPr="004D7FDB">
        <w:rPr>
          <w:sz w:val="18"/>
          <w:szCs w:val="18"/>
        </w:rPr>
        <w:t>2006] ECHR 721</w:t>
      </w:r>
      <w:bookmarkEnd w:id="71"/>
    </w:p>
  </w:footnote>
  <w:footnote w:id="95">
    <w:p w14:paraId="2FCA935F" w14:textId="6017CBA9" w:rsidR="006212EC" w:rsidRPr="004D7FDB" w:rsidRDefault="006212EC" w:rsidP="00555B77">
      <w:pPr>
        <w:pStyle w:val="FootnoteText"/>
        <w:rPr>
          <w:sz w:val="18"/>
          <w:szCs w:val="18"/>
        </w:rPr>
      </w:pPr>
      <w:r w:rsidRPr="004D7FDB">
        <w:rPr>
          <w:rStyle w:val="FootnoteReference"/>
          <w:sz w:val="18"/>
          <w:szCs w:val="18"/>
        </w:rPr>
        <w:footnoteRef/>
      </w:r>
      <w:r w:rsidRPr="004D7FDB">
        <w:rPr>
          <w:sz w:val="18"/>
          <w:szCs w:val="18"/>
        </w:rPr>
        <w:t xml:space="preserve"> Also, </w:t>
      </w:r>
      <w:bookmarkStart w:id="72" w:name="_Hlk36154700"/>
      <w:r w:rsidRPr="004D7FDB">
        <w:rPr>
          <w:sz w:val="18"/>
          <w:szCs w:val="18"/>
        </w:rPr>
        <w:t>Selmouni v France 00025803/94</w:t>
      </w:r>
      <w:bookmarkEnd w:id="72"/>
      <w:r w:rsidRPr="004D7FDB">
        <w:rPr>
          <w:sz w:val="18"/>
          <w:szCs w:val="18"/>
        </w:rPr>
        <w:t>, where the harm inflicted on Selmouni was found to constitute torture, under Art3.</w:t>
      </w:r>
    </w:p>
  </w:footnote>
  <w:footnote w:id="96">
    <w:p w14:paraId="3FEB4E6F" w14:textId="5FB901DC" w:rsidR="006212EC" w:rsidRPr="004D7FDB" w:rsidRDefault="006212EC" w:rsidP="009B031E">
      <w:pPr>
        <w:pStyle w:val="FootnoteText"/>
        <w:rPr>
          <w:sz w:val="18"/>
          <w:szCs w:val="18"/>
        </w:rPr>
      </w:pPr>
      <w:r w:rsidRPr="004D7FDB">
        <w:rPr>
          <w:rStyle w:val="FootnoteReference"/>
          <w:sz w:val="18"/>
          <w:szCs w:val="18"/>
        </w:rPr>
        <w:footnoteRef/>
      </w:r>
      <w:r w:rsidRPr="004D7FDB">
        <w:rPr>
          <w:sz w:val="18"/>
          <w:szCs w:val="18"/>
        </w:rPr>
        <w:t xml:space="preserve"> </w:t>
      </w:r>
      <w:bookmarkStart w:id="74" w:name="_Hlk36154742"/>
      <w:r w:rsidRPr="004D7FDB">
        <w:rPr>
          <w:sz w:val="18"/>
          <w:szCs w:val="18"/>
        </w:rPr>
        <w:t>[1978] ECHR 1.</w:t>
      </w:r>
      <w:bookmarkEnd w:id="74"/>
    </w:p>
  </w:footnote>
  <w:footnote w:id="97">
    <w:p w14:paraId="5EA809D8" w14:textId="20826346" w:rsidR="006212EC" w:rsidRPr="004D7FDB" w:rsidRDefault="006212EC">
      <w:pPr>
        <w:pStyle w:val="FootnoteText"/>
        <w:rPr>
          <w:sz w:val="18"/>
          <w:szCs w:val="18"/>
        </w:rPr>
      </w:pPr>
      <w:r w:rsidRPr="004D7FDB">
        <w:rPr>
          <w:rStyle w:val="FootnoteReference"/>
          <w:sz w:val="18"/>
          <w:szCs w:val="18"/>
        </w:rPr>
        <w:footnoteRef/>
      </w:r>
      <w:r w:rsidRPr="004D7FDB">
        <w:rPr>
          <w:sz w:val="18"/>
          <w:szCs w:val="18"/>
        </w:rPr>
        <w:t xml:space="preserve"> Ibid. Article 15 gives those states a wide margin of appreciation</w:t>
      </w:r>
    </w:p>
  </w:footnote>
  <w:footnote w:id="98">
    <w:p w14:paraId="7E12AFC8" w14:textId="45CBE424" w:rsidR="006212EC" w:rsidRPr="004D7FDB" w:rsidRDefault="006212EC">
      <w:pPr>
        <w:pStyle w:val="FootnoteText"/>
        <w:rPr>
          <w:sz w:val="18"/>
          <w:szCs w:val="18"/>
        </w:rPr>
      </w:pPr>
      <w:r w:rsidRPr="004D7FDB">
        <w:rPr>
          <w:rStyle w:val="FootnoteReference"/>
          <w:sz w:val="18"/>
          <w:szCs w:val="18"/>
        </w:rPr>
        <w:footnoteRef/>
      </w:r>
      <w:r w:rsidRPr="004D7FDB">
        <w:rPr>
          <w:sz w:val="18"/>
          <w:szCs w:val="18"/>
        </w:rPr>
        <w:t xml:space="preserve"> Ibid. former Prime Minister, Theresa May, argued this in relation to the ECHR in Abu Qatada case. </w:t>
      </w:r>
    </w:p>
  </w:footnote>
  <w:footnote w:id="99">
    <w:p w14:paraId="05CCC8C7" w14:textId="72D07EA6" w:rsidR="006212EC" w:rsidRPr="004D7FDB" w:rsidRDefault="006212EC">
      <w:pPr>
        <w:pStyle w:val="FootnoteText"/>
        <w:rPr>
          <w:sz w:val="18"/>
          <w:szCs w:val="18"/>
        </w:rPr>
      </w:pPr>
      <w:r w:rsidRPr="004D7FDB">
        <w:rPr>
          <w:rStyle w:val="FootnoteReference"/>
          <w:sz w:val="18"/>
          <w:szCs w:val="18"/>
        </w:rPr>
        <w:footnoteRef/>
      </w:r>
      <w:r w:rsidRPr="004D7FDB">
        <w:rPr>
          <w:sz w:val="18"/>
          <w:szCs w:val="18"/>
        </w:rPr>
        <w:t xml:space="preserve"> Ibid. According to Government’s Intelligence and Security Committee report 2018, he was tortured by MI6 for his alleged involvement in 9/11, but later found that he was not involved, resulting in, former Prime Minister Theresa May issuing a public apology for the appalling treatment and compensation.</w:t>
      </w:r>
    </w:p>
  </w:footnote>
  <w:footnote w:id="100">
    <w:p w14:paraId="28BED480" w14:textId="382083AB" w:rsidR="006212EC" w:rsidRPr="004D7FDB" w:rsidRDefault="006212EC" w:rsidP="00E9781E">
      <w:pPr>
        <w:pStyle w:val="FootnoteText"/>
        <w:rPr>
          <w:sz w:val="18"/>
          <w:szCs w:val="18"/>
        </w:rPr>
      </w:pPr>
      <w:r w:rsidRPr="004D7FDB">
        <w:rPr>
          <w:rStyle w:val="FootnoteReference"/>
          <w:sz w:val="18"/>
          <w:szCs w:val="18"/>
        </w:rPr>
        <w:footnoteRef/>
      </w:r>
      <w:r w:rsidRPr="004D7FDB">
        <w:rPr>
          <w:sz w:val="18"/>
          <w:szCs w:val="18"/>
        </w:rPr>
        <w:t xml:space="preserve">   CCPR/C/112/D/1906/2009 </w:t>
      </w:r>
    </w:p>
  </w:footnote>
  <w:footnote w:id="101">
    <w:p w14:paraId="76BBA609" w14:textId="6AB79272" w:rsidR="006212EC" w:rsidRDefault="006212EC" w:rsidP="00BF37F4">
      <w:pPr>
        <w:pStyle w:val="FootnoteText"/>
      </w:pPr>
      <w:bookmarkStart w:id="75" w:name="_Hlk35967474"/>
      <w:bookmarkStart w:id="76" w:name="_Hlk35967516"/>
      <w:r>
        <w:rPr>
          <w:rStyle w:val="FootnoteReference"/>
        </w:rPr>
        <w:footnoteRef/>
      </w:r>
      <w:r>
        <w:t xml:space="preserve"> </w:t>
      </w:r>
      <w:r w:rsidRPr="004D7FDB">
        <w:rPr>
          <w:sz w:val="18"/>
          <w:szCs w:val="18"/>
        </w:rPr>
        <w:t>CCPR/C/110/D/1890/2009</w:t>
      </w:r>
    </w:p>
  </w:footnote>
  <w:footnote w:id="102">
    <w:p w14:paraId="41B34C0A" w14:textId="7261C8BC" w:rsidR="006212EC" w:rsidRDefault="006212EC">
      <w:pPr>
        <w:pStyle w:val="FootnoteText"/>
      </w:pPr>
      <w:r>
        <w:rPr>
          <w:rStyle w:val="FootnoteReference"/>
        </w:rPr>
        <w:footnoteRef/>
      </w:r>
      <w:r>
        <w:t xml:space="preserve"> Gafgen and </w:t>
      </w:r>
      <w:bookmarkStart w:id="77" w:name="_Hlk36155216"/>
      <w:proofErr w:type="spellStart"/>
      <w:r>
        <w:t>Tomasi</w:t>
      </w:r>
      <w:proofErr w:type="spellEnd"/>
      <w:r w:rsidR="00A01395">
        <w:t xml:space="preserve"> v France (</w:t>
      </w:r>
      <w:r w:rsidR="00E71240" w:rsidRPr="00E71240">
        <w:t>App no 12850/87</w:t>
      </w:r>
      <w:r w:rsidR="00A01395">
        <w:t>)</w:t>
      </w:r>
      <w:bookmarkEnd w:id="77"/>
      <w:r>
        <w:t>, both prohibiting its use, regardless of ‘state sanctions’, absolutely.</w:t>
      </w:r>
    </w:p>
  </w:footnote>
  <w:footnote w:id="103">
    <w:p w14:paraId="239D885E" w14:textId="063EE02F" w:rsidR="006212EC" w:rsidRPr="007D501E" w:rsidRDefault="006212EC">
      <w:pPr>
        <w:pStyle w:val="FootnoteText"/>
        <w:rPr>
          <w:sz w:val="18"/>
          <w:szCs w:val="18"/>
        </w:rPr>
      </w:pPr>
      <w:r w:rsidRPr="007D501E">
        <w:rPr>
          <w:rStyle w:val="FootnoteReference"/>
          <w:sz w:val="18"/>
          <w:szCs w:val="18"/>
        </w:rPr>
        <w:footnoteRef/>
      </w:r>
      <w:r w:rsidRPr="007D501E">
        <w:rPr>
          <w:sz w:val="18"/>
          <w:szCs w:val="18"/>
        </w:rPr>
        <w:t xml:space="preserve"> </w:t>
      </w:r>
      <w:r w:rsidRPr="007D501E">
        <w:rPr>
          <w:sz w:val="18"/>
          <w:szCs w:val="18"/>
        </w:rPr>
        <w:t xml:space="preserve">Considering freedom fighters, like Mandela, a terrorist at one point. </w:t>
      </w:r>
    </w:p>
  </w:footnote>
  <w:footnote w:id="104">
    <w:p w14:paraId="14A5D03D" w14:textId="4133C687" w:rsidR="006212EC" w:rsidRPr="007D501E" w:rsidRDefault="006212EC" w:rsidP="00E4412C">
      <w:pPr>
        <w:pStyle w:val="FootnoteText"/>
        <w:rPr>
          <w:sz w:val="18"/>
          <w:szCs w:val="18"/>
        </w:rPr>
      </w:pPr>
      <w:r w:rsidRPr="007D501E">
        <w:rPr>
          <w:rStyle w:val="FootnoteReference"/>
          <w:sz w:val="18"/>
          <w:szCs w:val="18"/>
        </w:rPr>
        <w:footnoteRef/>
      </w:r>
      <w:r w:rsidRPr="007D501E">
        <w:rPr>
          <w:sz w:val="18"/>
          <w:szCs w:val="18"/>
        </w:rPr>
        <w:t xml:space="preserve"> </w:t>
      </w:r>
      <w:bookmarkStart w:id="78" w:name="_Hlk36155273"/>
      <w:r w:rsidRPr="007D501E">
        <w:rPr>
          <w:sz w:val="18"/>
          <w:szCs w:val="18"/>
        </w:rPr>
        <w:t xml:space="preserve">Yuval Ginbar, </w:t>
      </w:r>
      <w:proofErr w:type="gramStart"/>
      <w:r w:rsidRPr="007D501E">
        <w:rPr>
          <w:sz w:val="18"/>
          <w:szCs w:val="18"/>
        </w:rPr>
        <w:t>Why</w:t>
      </w:r>
      <w:proofErr w:type="gramEnd"/>
      <w:r w:rsidRPr="007D501E">
        <w:rPr>
          <w:sz w:val="18"/>
          <w:szCs w:val="18"/>
        </w:rPr>
        <w:t xml:space="preserve"> not torture terrorists? Moral, Practical and Legal perspectives (first published 2008, OUP) 4-27</w:t>
      </w:r>
    </w:p>
    <w:bookmarkEnd w:id="78"/>
  </w:footnote>
  <w:footnote w:id="105">
    <w:p w14:paraId="1C5E3FE7" w14:textId="220763FB" w:rsidR="006212EC" w:rsidRPr="007D501E" w:rsidRDefault="006212EC">
      <w:pPr>
        <w:pStyle w:val="FootnoteText"/>
        <w:rPr>
          <w:sz w:val="18"/>
          <w:szCs w:val="18"/>
        </w:rPr>
      </w:pPr>
      <w:r w:rsidRPr="007D501E">
        <w:rPr>
          <w:rStyle w:val="FootnoteReference"/>
          <w:sz w:val="18"/>
          <w:szCs w:val="18"/>
        </w:rPr>
        <w:footnoteRef/>
      </w:r>
      <w:r w:rsidRPr="007D501E">
        <w:rPr>
          <w:sz w:val="18"/>
          <w:szCs w:val="18"/>
        </w:rPr>
        <w:t xml:space="preserve"> Ibid 234. According to </w:t>
      </w:r>
      <w:r w:rsidR="00C529E1">
        <w:rPr>
          <w:sz w:val="18"/>
          <w:szCs w:val="18"/>
        </w:rPr>
        <w:t>‘</w:t>
      </w:r>
      <w:r w:rsidRPr="007D501E">
        <w:rPr>
          <w:sz w:val="18"/>
          <w:szCs w:val="18"/>
        </w:rPr>
        <w:t>Nowak, Special Rapporteur on Torture for the UN, confessions is the most common reason that torture would be used.</w:t>
      </w:r>
      <w:r w:rsidR="00C529E1">
        <w:rPr>
          <w:sz w:val="18"/>
          <w:szCs w:val="18"/>
        </w:rPr>
        <w:t>’</w:t>
      </w:r>
    </w:p>
    <w:bookmarkStart w:id="79" w:name="_Hlk35967569"/>
  </w:footnote>
  <w:footnote w:id="106">
    <w:p w14:paraId="0AFFE2FD" w14:textId="14A179D0" w:rsidR="006212EC" w:rsidRPr="007D501E" w:rsidRDefault="006212EC">
      <w:pPr>
        <w:pStyle w:val="FootnoteText"/>
        <w:rPr>
          <w:sz w:val="18"/>
          <w:szCs w:val="18"/>
        </w:rPr>
      </w:pPr>
      <w:bookmarkStart w:id="80" w:name="_Hlk35967569"/>
      <w:r w:rsidRPr="007D501E">
        <w:rPr>
          <w:rStyle w:val="FootnoteReference"/>
          <w:sz w:val="18"/>
          <w:szCs w:val="18"/>
        </w:rPr>
        <w:footnoteRef/>
      </w:r>
      <w:r w:rsidRPr="007D501E">
        <w:rPr>
          <w:sz w:val="18"/>
          <w:szCs w:val="18"/>
        </w:rPr>
        <w:t xml:space="preserve"> </w:t>
      </w:r>
      <w:bookmarkStart w:id="81" w:name="_Hlk36155292"/>
      <w:proofErr w:type="spellStart"/>
      <w:r w:rsidRPr="007D501E">
        <w:rPr>
          <w:sz w:val="18"/>
          <w:szCs w:val="18"/>
        </w:rPr>
        <w:t>Rochin</w:t>
      </w:r>
      <w:proofErr w:type="spellEnd"/>
      <w:r w:rsidRPr="007D501E">
        <w:rPr>
          <w:sz w:val="18"/>
          <w:szCs w:val="18"/>
        </w:rPr>
        <w:t xml:space="preserve"> v California (1952) 342 US 165.</w:t>
      </w:r>
      <w:bookmarkEnd w:id="81"/>
    </w:p>
  </w:footnote>
  <w:footnote w:id="107">
    <w:p w14:paraId="58B97907" w14:textId="1D6E8A87" w:rsidR="006212EC" w:rsidRPr="007D501E" w:rsidRDefault="006212EC">
      <w:pPr>
        <w:pStyle w:val="FootnoteText"/>
        <w:rPr>
          <w:sz w:val="18"/>
          <w:szCs w:val="18"/>
        </w:rPr>
      </w:pPr>
      <w:r w:rsidRPr="007D501E">
        <w:rPr>
          <w:rStyle w:val="FootnoteReference"/>
          <w:sz w:val="18"/>
          <w:szCs w:val="18"/>
        </w:rPr>
        <w:footnoteRef/>
      </w:r>
      <w:bookmarkStart w:id="82" w:name="_Hlk36155369"/>
      <w:r w:rsidRPr="007D501E">
        <w:rPr>
          <w:sz w:val="18"/>
          <w:szCs w:val="18"/>
        </w:rPr>
        <w:t>Dershowitz, Torture Reasoning in S Levinson Torture: A Collection (first published 2004, OUP) 257-280</w:t>
      </w:r>
      <w:bookmarkEnd w:id="82"/>
    </w:p>
  </w:footnote>
  <w:footnote w:id="108">
    <w:p w14:paraId="35F4FE25" w14:textId="15061407" w:rsidR="006212EC" w:rsidRPr="007D501E" w:rsidRDefault="006212EC" w:rsidP="00CE12A3">
      <w:pPr>
        <w:pStyle w:val="FootnoteText"/>
        <w:rPr>
          <w:sz w:val="18"/>
          <w:szCs w:val="18"/>
        </w:rPr>
      </w:pPr>
      <w:r w:rsidRPr="007D501E">
        <w:rPr>
          <w:rStyle w:val="FootnoteReference"/>
          <w:sz w:val="18"/>
          <w:szCs w:val="18"/>
        </w:rPr>
        <w:footnoteRef/>
      </w:r>
      <w:r w:rsidRPr="007D501E">
        <w:rPr>
          <w:sz w:val="18"/>
          <w:szCs w:val="18"/>
        </w:rPr>
        <w:t xml:space="preserve"> </w:t>
      </w:r>
      <w:r w:rsidR="00C529E1">
        <w:rPr>
          <w:sz w:val="18"/>
          <w:szCs w:val="18"/>
        </w:rPr>
        <w:t xml:space="preserve">See </w:t>
      </w:r>
      <w:r w:rsidRPr="007D501E">
        <w:rPr>
          <w:sz w:val="18"/>
          <w:szCs w:val="18"/>
        </w:rPr>
        <w:t>Abdul Hakim Belhaj.</w:t>
      </w:r>
    </w:p>
  </w:footnote>
  <w:footnote w:id="109">
    <w:p w14:paraId="1CF9D3D2" w14:textId="10C546D5" w:rsidR="006212EC" w:rsidRPr="007D501E" w:rsidRDefault="006212EC">
      <w:pPr>
        <w:pStyle w:val="FootnoteText"/>
        <w:rPr>
          <w:sz w:val="18"/>
          <w:szCs w:val="18"/>
        </w:rPr>
      </w:pPr>
      <w:r w:rsidRPr="007D501E">
        <w:rPr>
          <w:rStyle w:val="FootnoteReference"/>
          <w:sz w:val="18"/>
          <w:szCs w:val="18"/>
        </w:rPr>
        <w:footnoteRef/>
      </w:r>
      <w:r w:rsidRPr="007D501E">
        <w:rPr>
          <w:sz w:val="18"/>
          <w:szCs w:val="18"/>
        </w:rPr>
        <w:t xml:space="preserve"> </w:t>
      </w:r>
      <w:bookmarkStart w:id="83" w:name="_Hlk36155391"/>
      <w:r w:rsidRPr="007D501E">
        <w:rPr>
          <w:sz w:val="18"/>
          <w:szCs w:val="18"/>
        </w:rPr>
        <w:t>Jeremy Bentham, Means of Extraction for Extraordinary Occasions (first published 1839, W. Tait) 12.</w:t>
      </w:r>
    </w:p>
  </w:footnote>
  <w:footnote w:id="110">
    <w:p w14:paraId="6FFD23DA" w14:textId="52465957" w:rsidR="006212EC" w:rsidRDefault="006212EC">
      <w:pPr>
        <w:pStyle w:val="FootnoteText"/>
      </w:pPr>
      <w:r w:rsidRPr="007D501E">
        <w:rPr>
          <w:rStyle w:val="FootnoteReference"/>
          <w:sz w:val="18"/>
          <w:szCs w:val="18"/>
        </w:rPr>
        <w:footnoteRef/>
      </w:r>
      <w:r w:rsidRPr="007D501E">
        <w:rPr>
          <w:sz w:val="18"/>
          <w:szCs w:val="18"/>
        </w:rPr>
        <w:t xml:space="preserve"> Jean Larteguy, The Centurions (first published 2015, Penguin) </w:t>
      </w:r>
    </w:p>
  </w:footnote>
  <w:footnote w:id="111">
    <w:p w14:paraId="07438A0E" w14:textId="44531DB3" w:rsidR="006212EC" w:rsidRDefault="006212EC">
      <w:pPr>
        <w:pStyle w:val="FootnoteText"/>
      </w:pPr>
      <w:r>
        <w:rPr>
          <w:rStyle w:val="FootnoteReference"/>
        </w:rPr>
        <w:footnoteRef/>
      </w:r>
      <w:r>
        <w:t xml:space="preserve"> </w:t>
      </w:r>
      <w:bookmarkStart w:id="84" w:name="_Hlk36155415"/>
      <w:r>
        <w:t>Lyons D, Forms and Limits of Utilitarianism(Clarendon Press 1965)p.vii</w:t>
      </w:r>
      <w:bookmarkEnd w:id="84"/>
      <w:r>
        <w:t xml:space="preserve">, act </w:t>
      </w:r>
      <w:proofErr w:type="gramStart"/>
      <w:r>
        <w:t>utilitarian’s</w:t>
      </w:r>
      <w:proofErr w:type="gramEnd"/>
      <w:r>
        <w:t xml:space="preserve"> argue ‘if a majority of people will be harmed by not acting, then the act is justifiable and should be carried out’.</w:t>
      </w:r>
    </w:p>
  </w:footnote>
  <w:footnote w:id="112">
    <w:p w14:paraId="08A04CCC" w14:textId="4A2C1E6C" w:rsidR="006212EC" w:rsidRDefault="006212EC">
      <w:pPr>
        <w:pStyle w:val="FootnoteText"/>
      </w:pPr>
      <w:r>
        <w:rPr>
          <w:rStyle w:val="FootnoteReference"/>
        </w:rPr>
        <w:footnoteRef/>
      </w:r>
      <w:r>
        <w:t xml:space="preserve"> </w:t>
      </w:r>
      <w:bookmarkStart w:id="85" w:name="_Hlk36155452"/>
      <w:r>
        <w:t xml:space="preserve">Francesco </w:t>
      </w:r>
      <w:proofErr w:type="spellStart"/>
      <w:r>
        <w:t>Belvisi,’The</w:t>
      </w:r>
      <w:proofErr w:type="spellEnd"/>
      <w:r>
        <w:t xml:space="preserve"> Ticking Bomb Scenario as a moral scandal [2009] Studies on Political Sociology 69</w:t>
      </w:r>
      <w:bookmarkEnd w:id="85"/>
    </w:p>
  </w:footnote>
  <w:footnote w:id="113">
    <w:p w14:paraId="11F0852A" w14:textId="1DFDAAC8" w:rsidR="006212EC" w:rsidRDefault="006212EC">
      <w:pPr>
        <w:pStyle w:val="FootnoteText"/>
      </w:pPr>
      <w:r>
        <w:rPr>
          <w:rStyle w:val="FootnoteReference"/>
        </w:rPr>
        <w:footnoteRef/>
      </w:r>
      <w:r>
        <w:t xml:space="preserve"> ibid</w:t>
      </w:r>
    </w:p>
  </w:footnote>
  <w:footnote w:id="114">
    <w:p w14:paraId="5DDC2D4F" w14:textId="104E44C1" w:rsidR="006212EC" w:rsidRDefault="006212EC">
      <w:pPr>
        <w:pStyle w:val="FootnoteText"/>
      </w:pPr>
      <w:r>
        <w:rPr>
          <w:rStyle w:val="FootnoteReference"/>
        </w:rPr>
        <w:footnoteRef/>
      </w:r>
      <w:r>
        <w:t xml:space="preserve"> </w:t>
      </w:r>
      <w:bookmarkStart w:id="86" w:name="_Hlk36155479"/>
      <w:r>
        <w:t xml:space="preserve">Richard </w:t>
      </w:r>
      <w:proofErr w:type="spellStart"/>
      <w:r>
        <w:t>Posner,‘The</w:t>
      </w:r>
      <w:proofErr w:type="spellEnd"/>
      <w:r>
        <w:t xml:space="preserve"> New Republic’ [1986] Harvard Law Review 44</w:t>
      </w:r>
      <w:bookmarkEnd w:id="86"/>
    </w:p>
  </w:footnote>
  <w:footnote w:id="115">
    <w:p w14:paraId="2CE4BA89" w14:textId="4C2608A2" w:rsidR="006212EC" w:rsidRDefault="006212EC">
      <w:pPr>
        <w:pStyle w:val="FootnoteText"/>
      </w:pPr>
      <w:r>
        <w:rPr>
          <w:rStyle w:val="FootnoteReference"/>
        </w:rPr>
        <w:footnoteRef/>
      </w:r>
      <w:r>
        <w:t xml:space="preserve"> ibid</w:t>
      </w:r>
    </w:p>
  </w:footnote>
  <w:footnote w:id="116">
    <w:p w14:paraId="4FDD8356" w14:textId="74DD367E" w:rsidR="006212EC" w:rsidRDefault="006212EC">
      <w:pPr>
        <w:pStyle w:val="FootnoteText"/>
      </w:pPr>
      <w:r>
        <w:rPr>
          <w:rStyle w:val="FootnoteReference"/>
        </w:rPr>
        <w:footnoteRef/>
      </w:r>
      <w:r>
        <w:t xml:space="preserve"> Ibid. 42</w:t>
      </w:r>
    </w:p>
  </w:footnote>
  <w:footnote w:id="117">
    <w:p w14:paraId="2AF8ACF7" w14:textId="05B99958" w:rsidR="006212EC" w:rsidRDefault="006212EC" w:rsidP="000C0453">
      <w:pPr>
        <w:pStyle w:val="FootnoteText"/>
      </w:pPr>
      <w:r>
        <w:rPr>
          <w:rStyle w:val="FootnoteReference"/>
        </w:rPr>
        <w:footnoteRef/>
      </w:r>
      <w:r>
        <w:t xml:space="preserve"> Ibid. 52</w:t>
      </w:r>
    </w:p>
  </w:footnote>
  <w:footnote w:id="118">
    <w:p w14:paraId="4BF3269E" w14:textId="37D92E88" w:rsidR="006212EC" w:rsidRDefault="006212EC" w:rsidP="000E78FF">
      <w:pPr>
        <w:pStyle w:val="FootnoteText"/>
      </w:pPr>
      <w:r>
        <w:rPr>
          <w:rStyle w:val="FootnoteReference"/>
        </w:rPr>
        <w:footnoteRef/>
      </w:r>
      <w:r>
        <w:t xml:space="preserve"> </w:t>
      </w:r>
      <w:bookmarkStart w:id="87" w:name="_Hlk36155506"/>
      <w:r>
        <w:t>Alan Dershowitz, Why Terrorism Works (first published 2012, The New Republic) 21</w:t>
      </w:r>
    </w:p>
  </w:footnote>
  <w:footnote w:id="119">
    <w:p w14:paraId="5AE133F0" w14:textId="2A4587FC" w:rsidR="006212EC" w:rsidRDefault="006212EC" w:rsidP="00AB4B53">
      <w:r>
        <w:rPr>
          <w:rStyle w:val="FootnoteReference"/>
        </w:rPr>
        <w:footnoteRef/>
      </w:r>
      <w:r>
        <w:t xml:space="preserve"> </w:t>
      </w:r>
      <w:bookmarkStart w:id="88" w:name="_Hlk35967621"/>
      <w:r w:rsidRPr="00050B6D">
        <w:t>Bagaric M &amp; Clarke J, Torture: When is the Unthinkable Morally Permissible (</w:t>
      </w:r>
      <w:r>
        <w:t xml:space="preserve">first published 2007, </w:t>
      </w:r>
      <w:r w:rsidRPr="00050B6D">
        <w:t xml:space="preserve">State University of New York Press) p.vii. </w:t>
      </w:r>
      <w:r>
        <w:t xml:space="preserve"> </w:t>
      </w:r>
      <w:r>
        <w:t xml:space="preserve">ibid. </w:t>
      </w:r>
      <w:r w:rsidRPr="00050B6D">
        <w:t>Israeli Court Judge, Heshin, states that ‘this is the most extreme immoral position I have ever heard, a thousand people are about to die, and propose to do nothing’.</w:t>
      </w:r>
    </w:p>
    <w:bookmarkStart w:id="89" w:name="_Hlk35967645"/>
    <w:bookmarkEnd w:id="88"/>
  </w:footnote>
  <w:footnote w:id="120">
    <w:p w14:paraId="7A2FE641" w14:textId="1313F613" w:rsidR="006212EC" w:rsidRDefault="006212EC">
      <w:pPr>
        <w:pStyle w:val="FootnoteText"/>
      </w:pPr>
      <w:bookmarkStart w:id="90" w:name="_Hlk35967645"/>
      <w:r>
        <w:rPr>
          <w:rStyle w:val="FootnoteReference"/>
        </w:rPr>
        <w:footnoteRef/>
      </w:r>
      <w:r>
        <w:t xml:space="preserve"> ibid</w:t>
      </w:r>
    </w:p>
  </w:footnote>
  <w:footnote w:id="121">
    <w:p w14:paraId="5DDB8F2C" w14:textId="485ED0E9" w:rsidR="006212EC" w:rsidRDefault="006212EC">
      <w:pPr>
        <w:pStyle w:val="FootnoteText"/>
      </w:pPr>
      <w:r>
        <w:rPr>
          <w:rStyle w:val="FootnoteReference"/>
        </w:rPr>
        <w:footnoteRef/>
      </w:r>
      <w:r>
        <w:t xml:space="preserve"> </w:t>
      </w:r>
      <w:bookmarkStart w:id="91" w:name="_Hlk36155535"/>
      <w:r>
        <w:t>Michael Walzer, ‘Political Action: The Problem of Dirty Hands’ (first published 2006, OUP) 66</w:t>
      </w:r>
    </w:p>
    <w:bookmarkEnd w:id="91"/>
  </w:footnote>
  <w:footnote w:id="122">
    <w:p w14:paraId="2617CD82" w14:textId="34969995" w:rsidR="006212EC" w:rsidRDefault="006212EC">
      <w:pPr>
        <w:pStyle w:val="FootnoteText"/>
      </w:pPr>
      <w:r>
        <w:rPr>
          <w:rStyle w:val="FootnoteReference"/>
        </w:rPr>
        <w:footnoteRef/>
      </w:r>
      <w:r>
        <w:t xml:space="preserve"> ibid</w:t>
      </w:r>
    </w:p>
  </w:footnote>
  <w:footnote w:id="123">
    <w:p w14:paraId="36447A55" w14:textId="0AE42BD2" w:rsidR="006212EC" w:rsidRDefault="006212EC">
      <w:pPr>
        <w:pStyle w:val="FootnoteText"/>
      </w:pPr>
      <w:r>
        <w:rPr>
          <w:rStyle w:val="FootnoteReference"/>
        </w:rPr>
        <w:footnoteRef/>
      </w:r>
      <w:r>
        <w:t xml:space="preserve"> Ibid. 95</w:t>
      </w:r>
    </w:p>
  </w:footnote>
  <w:footnote w:id="124">
    <w:p w14:paraId="3E57664F" w14:textId="6D520897" w:rsidR="006212EC" w:rsidRDefault="006212EC">
      <w:pPr>
        <w:pStyle w:val="FootnoteText"/>
      </w:pPr>
      <w:r>
        <w:rPr>
          <w:rStyle w:val="FootnoteReference"/>
        </w:rPr>
        <w:footnoteRef/>
      </w:r>
      <w:r>
        <w:t xml:space="preserve"> Ibid.</w:t>
      </w:r>
    </w:p>
  </w:footnote>
  <w:footnote w:id="125">
    <w:p w14:paraId="177F1629" w14:textId="097D2493" w:rsidR="006212EC" w:rsidRDefault="006212EC">
      <w:pPr>
        <w:pStyle w:val="FootnoteText"/>
      </w:pPr>
      <w:r>
        <w:rPr>
          <w:rStyle w:val="FootnoteReference"/>
        </w:rPr>
        <w:footnoteRef/>
      </w:r>
      <w:r>
        <w:t xml:space="preserve"> Ibid. ‘Buckler ‘there may be some evils with which we simply cannot accept no matter wat the collective benefit or risk of non-collusion is’</w:t>
      </w:r>
    </w:p>
  </w:footnote>
  <w:footnote w:id="126">
    <w:p w14:paraId="12747271" w14:textId="0D717C5F" w:rsidR="006212EC" w:rsidRDefault="006212EC">
      <w:pPr>
        <w:pStyle w:val="FootnoteText"/>
      </w:pPr>
      <w:r>
        <w:rPr>
          <w:rStyle w:val="FootnoteReference"/>
        </w:rPr>
        <w:footnoteRef/>
      </w:r>
      <w:r>
        <w:t xml:space="preserve">Parry, ‘Torture warrants and the Rule of Law’ [2008] Albany Law Review 885 ‘Torture… part of the fabric of modern legal and political life’, </w:t>
      </w:r>
    </w:p>
  </w:footnote>
  <w:footnote w:id="127">
    <w:p w14:paraId="7DE38E11" w14:textId="2B31F269" w:rsidR="006212EC" w:rsidRDefault="006212EC" w:rsidP="00186EB3">
      <w:pPr>
        <w:pStyle w:val="FootnoteText"/>
      </w:pPr>
      <w:r>
        <w:rPr>
          <w:rStyle w:val="FootnoteReference"/>
        </w:rPr>
        <w:footnoteRef/>
      </w:r>
      <w:r>
        <w:t xml:space="preserve"> Ibid. Garett argues that citizens have a duty to place limits on leader’s conduct.</w:t>
      </w:r>
    </w:p>
  </w:footnote>
  <w:footnote w:id="128">
    <w:p w14:paraId="4A500580" w14:textId="3921BE6E" w:rsidR="006212EC" w:rsidRDefault="006212EC">
      <w:pPr>
        <w:pStyle w:val="FootnoteText"/>
      </w:pPr>
      <w:r>
        <w:rPr>
          <w:rStyle w:val="FootnoteReference"/>
        </w:rPr>
        <w:footnoteRef/>
      </w:r>
      <w:r>
        <w:t xml:space="preserve"> Ibid 66.</w:t>
      </w:r>
    </w:p>
  </w:footnote>
  <w:footnote w:id="129">
    <w:p w14:paraId="2ECE1017" w14:textId="501FFB93" w:rsidR="006212EC" w:rsidRDefault="006212EC">
      <w:pPr>
        <w:pStyle w:val="FootnoteText"/>
      </w:pPr>
      <w:r>
        <w:rPr>
          <w:rStyle w:val="FootnoteReference"/>
        </w:rPr>
        <w:footnoteRef/>
      </w:r>
      <w:r>
        <w:t xml:space="preserve"> </w:t>
      </w:r>
      <w:r w:rsidRPr="00E75CE7">
        <w:t>Ibid. ‘…every authority deals with a specific area…which it has expertise, this places the authority’s personnel in a… different position…being prepared for the situation’</w:t>
      </w:r>
    </w:p>
  </w:footnote>
  <w:footnote w:id="130">
    <w:p w14:paraId="48D68D7B" w14:textId="0DF38D46" w:rsidR="006212EC" w:rsidRDefault="006212EC" w:rsidP="00E75CE7">
      <w:bookmarkStart w:id="92" w:name="_Hlk35967698"/>
      <w:r>
        <w:rPr>
          <w:rStyle w:val="FootnoteReference"/>
          <w:sz w:val="20"/>
          <w:szCs w:val="20"/>
        </w:rPr>
        <w:footnoteRef/>
      </w:r>
      <w:r>
        <w:t xml:space="preserve"> </w:t>
      </w:r>
      <w:r w:rsidRPr="00E75CE7">
        <w:rPr>
          <w:sz w:val="20"/>
          <w:szCs w:val="20"/>
        </w:rPr>
        <w:t xml:space="preserve">Ibid. ‘America learned the truth of how 9/11 was organised because a detainee had come to trust his captors after they treated him humanely.’  </w:t>
      </w:r>
    </w:p>
  </w:footnote>
  <w:footnote w:id="131">
    <w:p w14:paraId="4F7F69A8" w14:textId="1B7BE114" w:rsidR="006212EC" w:rsidRDefault="006212EC">
      <w:pPr>
        <w:pStyle w:val="FootnoteText"/>
      </w:pPr>
      <w:r>
        <w:rPr>
          <w:rStyle w:val="FootnoteReference"/>
        </w:rPr>
        <w:footnoteRef/>
      </w:r>
      <w:r>
        <w:t xml:space="preserve"> ibid</w:t>
      </w:r>
    </w:p>
  </w:footnote>
  <w:footnote w:id="132">
    <w:p w14:paraId="635F7787" w14:textId="387C2711" w:rsidR="006212EC" w:rsidRDefault="006212EC">
      <w:pPr>
        <w:pStyle w:val="FootnoteText"/>
      </w:pPr>
      <w:r>
        <w:rPr>
          <w:rStyle w:val="FootnoteReference"/>
        </w:rPr>
        <w:footnoteRef/>
      </w:r>
      <w:r>
        <w:t xml:space="preserve"> ibid</w:t>
      </w:r>
    </w:p>
  </w:footnote>
  <w:footnote w:id="133">
    <w:p w14:paraId="677B78D8" w14:textId="6866F8ED" w:rsidR="006212EC" w:rsidRDefault="006212EC">
      <w:pPr>
        <w:pStyle w:val="FootnoteText"/>
      </w:pPr>
      <w:r>
        <w:rPr>
          <w:rStyle w:val="FootnoteReference"/>
        </w:rPr>
        <w:footnoteRef/>
      </w:r>
      <w:r w:rsidRPr="00E75CE7">
        <w:t xml:space="preserve">  Ibid, Head of the Interrogation in Israel stated, ‘I took part in building a method of interrogation that involves reasonable pressure [but] today, I’m disgusted by it. Nobody touched a prisoner when I was head’.</w:t>
      </w:r>
    </w:p>
  </w:footnote>
  <w:footnote w:id="134">
    <w:p w14:paraId="64030A4B" w14:textId="76530BA2" w:rsidR="006212EC" w:rsidRDefault="006212EC">
      <w:pPr>
        <w:pStyle w:val="FootnoteText"/>
      </w:pPr>
      <w:r>
        <w:rPr>
          <w:rStyle w:val="FootnoteReference"/>
        </w:rPr>
        <w:footnoteRef/>
      </w:r>
      <w:r>
        <w:t xml:space="preserve"> ibid</w:t>
      </w:r>
    </w:p>
  </w:footnote>
  <w:footnote w:id="135">
    <w:p w14:paraId="115E1515" w14:textId="4CB5F742" w:rsidR="006212EC" w:rsidRDefault="006212EC" w:rsidP="0079415C">
      <w:pPr>
        <w:pStyle w:val="FootnoteText"/>
      </w:pPr>
      <w:r>
        <w:rPr>
          <w:rStyle w:val="FootnoteReference"/>
        </w:rPr>
        <w:footnoteRef/>
      </w:r>
      <w:r w:rsidRPr="006212EC">
        <w:t>J</w:t>
      </w:r>
      <w:r w:rsidR="00D868F7" w:rsidRPr="006212EC">
        <w:t>amie</w:t>
      </w:r>
      <w:r w:rsidRPr="006212EC">
        <w:t xml:space="preserve"> </w:t>
      </w:r>
      <w:proofErr w:type="spellStart"/>
      <w:r w:rsidRPr="006212EC">
        <w:t>G</w:t>
      </w:r>
      <w:r w:rsidR="00D868F7" w:rsidRPr="006212EC">
        <w:t>askarth</w:t>
      </w:r>
      <w:proofErr w:type="spellEnd"/>
      <w:r>
        <w:t xml:space="preserve"> , ‘The UK’s complicity in torture in the global war on terrorism’ (2011) </w:t>
      </w:r>
      <w:r w:rsidR="00D868F7">
        <w:t>1</w:t>
      </w:r>
      <w:r>
        <w:t>87 International Affairs 945-964</w:t>
      </w:r>
    </w:p>
  </w:footnote>
  <w:footnote w:id="136">
    <w:p w14:paraId="14218E3A" w14:textId="6D543FED" w:rsidR="006212EC" w:rsidRDefault="006212EC" w:rsidP="006212EC">
      <w:pPr>
        <w:pStyle w:val="FootnoteText"/>
      </w:pPr>
      <w:r>
        <w:rPr>
          <w:rStyle w:val="FootnoteReference"/>
        </w:rPr>
        <w:footnoteRef/>
      </w:r>
      <w:r>
        <w:t xml:space="preserve"> Dan </w:t>
      </w:r>
      <w:proofErr w:type="spellStart"/>
      <w:r>
        <w:t>Froomkin</w:t>
      </w:r>
      <w:proofErr w:type="spellEnd"/>
      <w:r>
        <w:t>, ‘Does Torture Work’ The Economist (New York, 27</w:t>
      </w:r>
      <w:r w:rsidRPr="006212EC">
        <w:rPr>
          <w:vertAlign w:val="superscript"/>
        </w:rPr>
        <w:t>th</w:t>
      </w:r>
      <w:r>
        <w:t xml:space="preserve"> Jan 2009) 3</w:t>
      </w:r>
    </w:p>
  </w:footnote>
  <w:footnote w:id="137">
    <w:p w14:paraId="4AA1D296" w14:textId="16FC2CF5" w:rsidR="006212EC" w:rsidRDefault="006212EC">
      <w:pPr>
        <w:pStyle w:val="FootnoteText"/>
      </w:pPr>
      <w:r>
        <w:rPr>
          <w:rStyle w:val="FootnoteReference"/>
        </w:rPr>
        <w:footnoteRef/>
      </w:r>
      <w:r w:rsidR="000E7E2B">
        <w:t xml:space="preserve">Ibid, </w:t>
      </w:r>
      <w:r w:rsidR="000E7E2B">
        <w:t>‘terrorists want to force us to give up our own universal values of pluralistic democracy, human rights and the rule of law’</w:t>
      </w:r>
    </w:p>
  </w:footnote>
  <w:footnote w:id="138">
    <w:p w14:paraId="58A76E19" w14:textId="3328F0B6" w:rsidR="006212EC" w:rsidRDefault="006212EC">
      <w:pPr>
        <w:pStyle w:val="FootnoteText"/>
      </w:pPr>
      <w:r>
        <w:rPr>
          <w:rStyle w:val="FootnoteReference"/>
        </w:rPr>
        <w:footnoteRef/>
      </w:r>
      <w:r>
        <w:t xml:space="preserve"> </w:t>
      </w:r>
      <w:r w:rsidR="000E7E2B">
        <w:t xml:space="preserve">Ibid </w:t>
      </w:r>
    </w:p>
  </w:footnote>
  <w:footnote w:id="139">
    <w:p w14:paraId="71D2D8F3" w14:textId="7B3F15E9" w:rsidR="006212EC" w:rsidRDefault="006212EC">
      <w:pPr>
        <w:pStyle w:val="FootnoteText"/>
      </w:pPr>
      <w:r>
        <w:rPr>
          <w:rStyle w:val="FootnoteReference"/>
        </w:rPr>
        <w:footnoteRef/>
      </w:r>
      <w:r>
        <w:t xml:space="preserve"> </w:t>
      </w:r>
      <w:bookmarkStart w:id="93" w:name="_Hlk36155011"/>
      <w:r w:rsidR="000E7E2B">
        <w:t>Gafgen v Germany (</w:t>
      </w:r>
      <w:r w:rsidR="000E7E2B" w:rsidRPr="000E7E2B">
        <w:t>App. No. 22978/05</w:t>
      </w:r>
      <w:r w:rsidR="000E7E2B">
        <w:t>)</w:t>
      </w:r>
      <w:bookmarkEnd w:id="93"/>
    </w:p>
  </w:footnote>
  <w:footnote w:id="140">
    <w:p w14:paraId="3A1BCABF" w14:textId="64D9E7BE" w:rsidR="000E7E2B" w:rsidRDefault="000E7E2B" w:rsidP="000E7E2B">
      <w:pPr>
        <w:pStyle w:val="FootnoteText"/>
      </w:pPr>
      <w:bookmarkStart w:id="94" w:name="_Hlk35967746"/>
      <w:r>
        <w:rPr>
          <w:rStyle w:val="FootnoteReference"/>
        </w:rPr>
        <w:footnoteRef/>
      </w:r>
      <w:r>
        <w:t xml:space="preserve"> S</w:t>
      </w:r>
      <w:r>
        <w:t>tijn Smet</w:t>
      </w:r>
      <w:r>
        <w:t>, ‘</w:t>
      </w:r>
      <w:r>
        <w:t xml:space="preserve"> </w:t>
      </w:r>
      <w:proofErr w:type="spellStart"/>
      <w:r w:rsidRPr="000E7E2B">
        <w:t>Gäfgen</w:t>
      </w:r>
      <w:proofErr w:type="spellEnd"/>
      <w:r w:rsidRPr="000E7E2B">
        <w:t xml:space="preserve"> v. Germany: threat of torture to save a life?</w:t>
      </w:r>
      <w:r>
        <w:t>’(</w:t>
      </w:r>
      <w:r>
        <w:t>Strasbourg Observer</w:t>
      </w:r>
      <w:r>
        <w:t xml:space="preserve">, </w:t>
      </w:r>
      <w:r>
        <w:t>6 July 2010</w:t>
      </w:r>
      <w:r>
        <w:t>) &lt;</w:t>
      </w:r>
      <w:r>
        <w:t xml:space="preserve"> </w:t>
      </w:r>
      <w:r w:rsidRPr="000E7E2B">
        <w:t>https://strasbourgobservers.com/2010/07/06/389/</w:t>
      </w:r>
      <w:r>
        <w:t xml:space="preserve">&gt; accessed </w:t>
      </w:r>
      <w:r>
        <w:t>26</w:t>
      </w:r>
      <w:r>
        <w:t xml:space="preserve"> </w:t>
      </w:r>
      <w:r>
        <w:t xml:space="preserve">March </w:t>
      </w:r>
      <w:r>
        <w:t>20</w:t>
      </w:r>
      <w:r>
        <w:t>20</w:t>
      </w:r>
    </w:p>
  </w:footnote>
  <w:footnote w:id="141">
    <w:p w14:paraId="7B40EF8A" w14:textId="1D83F23C" w:rsidR="000E7E2B" w:rsidRDefault="000E7E2B">
      <w:pPr>
        <w:pStyle w:val="FootnoteText"/>
      </w:pPr>
      <w:r>
        <w:rPr>
          <w:rStyle w:val="FootnoteReference"/>
        </w:rPr>
        <w:footnoteRef/>
      </w:r>
      <w:r>
        <w:t xml:space="preserve"> Ibid. </w:t>
      </w:r>
    </w:p>
  </w:footnote>
  <w:footnote w:id="142">
    <w:p w14:paraId="276E2DDB" w14:textId="22D7A3DA" w:rsidR="006212EC" w:rsidRDefault="006212EC" w:rsidP="00535D46">
      <w:pPr>
        <w:pStyle w:val="FootnoteText"/>
      </w:pPr>
      <w:r>
        <w:rPr>
          <w:rStyle w:val="FootnoteReference"/>
        </w:rPr>
        <w:footnoteRef/>
      </w:r>
      <w:r w:rsidR="00C529E1">
        <w:t xml:space="preserve"> </w:t>
      </w:r>
      <w:r w:rsidR="00C529E1" w:rsidRPr="00C529E1">
        <w:t>Randy Borum</w:t>
      </w:r>
      <w:r w:rsidR="00C529E1">
        <w:t xml:space="preserve">, </w:t>
      </w:r>
      <w:r w:rsidR="00C529E1" w:rsidRPr="00C529E1">
        <w:t>Interview and interrogation: a perspective and update from the USA</w:t>
      </w:r>
      <w:r w:rsidR="00C529E1">
        <w:t>’ (first published 2013, Routledge) 123</w:t>
      </w:r>
    </w:p>
  </w:footnote>
  <w:footnote w:id="143">
    <w:p w14:paraId="0D95C141" w14:textId="105B1799" w:rsidR="006212EC" w:rsidRDefault="006212EC">
      <w:pPr>
        <w:pStyle w:val="FootnoteText"/>
      </w:pPr>
      <w:r>
        <w:rPr>
          <w:rStyle w:val="FootnoteReference"/>
        </w:rPr>
        <w:footnoteRef/>
      </w:r>
      <w:bookmarkStart w:id="95" w:name="_Hlk36150760"/>
      <w:r w:rsidR="00C529E1" w:rsidRPr="00C529E1">
        <w:t xml:space="preserve">Yuval Ginbar, </w:t>
      </w:r>
      <w:proofErr w:type="gramStart"/>
      <w:r w:rsidR="00C529E1" w:rsidRPr="00C529E1">
        <w:t>Why</w:t>
      </w:r>
      <w:proofErr w:type="gramEnd"/>
      <w:r w:rsidR="00C529E1" w:rsidRPr="00C529E1">
        <w:t xml:space="preserve"> not torture terrorists? Moral, Practical and Legal perspectives (first published 2008, OUP) </w:t>
      </w:r>
      <w:r w:rsidR="00C529E1">
        <w:t>45</w:t>
      </w:r>
      <w:bookmarkEnd w:id="95"/>
    </w:p>
  </w:footnote>
  <w:footnote w:id="144">
    <w:p w14:paraId="08EFB5FA" w14:textId="787A412B" w:rsidR="006212EC" w:rsidRDefault="006212EC">
      <w:pPr>
        <w:pStyle w:val="FootnoteText"/>
      </w:pPr>
      <w:r>
        <w:rPr>
          <w:rStyle w:val="FootnoteReference"/>
        </w:rPr>
        <w:footnoteRef/>
      </w:r>
      <w:r>
        <w:t xml:space="preserve"> </w:t>
      </w:r>
      <w:r w:rsidR="00C529E1">
        <w:t xml:space="preserve">Ibid. </w:t>
      </w:r>
    </w:p>
  </w:footnote>
  <w:footnote w:id="145">
    <w:p w14:paraId="4E072E68" w14:textId="5195BCD6" w:rsidR="006212EC" w:rsidRDefault="006212EC">
      <w:pPr>
        <w:pStyle w:val="FootnoteText"/>
      </w:pPr>
      <w:r>
        <w:rPr>
          <w:rStyle w:val="FootnoteReference"/>
        </w:rPr>
        <w:footnoteRef/>
      </w:r>
      <w:r>
        <w:t xml:space="preserve"> </w:t>
      </w:r>
      <w:r w:rsidR="00C529E1">
        <w:t>Ibid.56</w:t>
      </w:r>
    </w:p>
  </w:footnote>
  <w:footnote w:id="146">
    <w:p w14:paraId="51D35483" w14:textId="13DA2670" w:rsidR="006212EC" w:rsidRDefault="006212EC">
      <w:pPr>
        <w:pStyle w:val="FootnoteText"/>
      </w:pPr>
      <w:r>
        <w:rPr>
          <w:rStyle w:val="FootnoteReference"/>
        </w:rPr>
        <w:footnoteRef/>
      </w:r>
      <w:r>
        <w:t xml:space="preserve"> </w:t>
      </w:r>
      <w:r w:rsidR="00C529E1" w:rsidRPr="00C529E1">
        <w:t>El-Masri v Macedonia (</w:t>
      </w:r>
      <w:r w:rsidR="00C529E1">
        <w:t xml:space="preserve">App. </w:t>
      </w:r>
      <w:r w:rsidR="00C529E1" w:rsidRPr="00C529E1">
        <w:t>39630/09)</w:t>
      </w:r>
    </w:p>
    <w:bookmarkStart w:id="96" w:name="_Hlk35967787"/>
  </w:footnote>
  <w:footnote w:id="147">
    <w:p w14:paraId="77B908B8" w14:textId="56C9A9F7" w:rsidR="006212EC" w:rsidRDefault="006212EC" w:rsidP="00C529E1">
      <w:pPr>
        <w:pStyle w:val="FootnoteText"/>
      </w:pPr>
      <w:bookmarkStart w:id="97" w:name="_Hlk35967787"/>
      <w:r>
        <w:rPr>
          <w:rStyle w:val="FootnoteReference"/>
        </w:rPr>
        <w:footnoteRef/>
      </w:r>
      <w:r>
        <w:t xml:space="preserve"> </w:t>
      </w:r>
      <w:r w:rsidR="00C529E1">
        <w:t>Amnesty International</w:t>
      </w:r>
      <w:r w:rsidR="00C529E1">
        <w:t>, ‘</w:t>
      </w:r>
      <w:r w:rsidR="00C529E1">
        <w:t>Torture Feeds off Discrimination</w:t>
      </w:r>
      <w:r w:rsidR="00C529E1">
        <w:t>’</w:t>
      </w:r>
      <w:r w:rsidR="00050122">
        <w:t xml:space="preserve"> </w:t>
      </w:r>
      <w:r w:rsidR="00C529E1">
        <w:t>(</w:t>
      </w:r>
      <w:r w:rsidR="00C529E1">
        <w:t>Amnesty International</w:t>
      </w:r>
      <w:r w:rsidR="00C529E1">
        <w:t xml:space="preserve">, </w:t>
      </w:r>
      <w:r w:rsidR="00C529E1">
        <w:t>18 October 2000</w:t>
      </w:r>
      <w:r w:rsidR="00C529E1">
        <w:t>) &lt;</w:t>
      </w:r>
      <w:r w:rsidR="00050122" w:rsidRPr="00050122">
        <w:t xml:space="preserve"> </w:t>
      </w:r>
      <w:r w:rsidR="00050122" w:rsidRPr="00050122">
        <w:t>https://www.amnesty.org.uk/press-releases/torture-feeds-discrimination</w:t>
      </w:r>
      <w:r w:rsidR="00050122">
        <w:t>&gt;</w:t>
      </w:r>
      <w:r w:rsidR="00C529E1">
        <w:t xml:space="preserve"> accessed </w:t>
      </w:r>
      <w:r w:rsidR="00050122">
        <w:t>25</w:t>
      </w:r>
      <w:r w:rsidR="00C529E1">
        <w:t xml:space="preserve"> </w:t>
      </w:r>
      <w:r w:rsidR="00050122">
        <w:t xml:space="preserve">March </w:t>
      </w:r>
      <w:r w:rsidR="00C529E1">
        <w:t>20</w:t>
      </w:r>
      <w:r w:rsidR="00050122">
        <w:t>20</w:t>
      </w:r>
      <w:r w:rsidR="00050122">
        <w:t xml:space="preserve">  ‘Amnesty international…showed…how torture, prejudice and discrimination are…inextricable interlinked’. </w:t>
      </w:r>
    </w:p>
  </w:footnote>
  <w:footnote w:id="148">
    <w:p w14:paraId="575E12B3" w14:textId="58FC02DC" w:rsidR="00C529E1" w:rsidRDefault="00C529E1">
      <w:pPr>
        <w:pStyle w:val="FootnoteText"/>
      </w:pPr>
      <w:r>
        <w:rPr>
          <w:rStyle w:val="FootnoteReference"/>
        </w:rPr>
        <w:footnoteRef/>
      </w:r>
      <w:r>
        <w:t xml:space="preserve"> Ibid</w:t>
      </w:r>
      <w:r w:rsidR="00050122">
        <w:t>. 64</w:t>
      </w:r>
    </w:p>
  </w:footnote>
  <w:footnote w:id="149">
    <w:p w14:paraId="087EA600" w14:textId="535699DD" w:rsidR="006212EC" w:rsidRDefault="006212EC" w:rsidP="00050122">
      <w:pPr>
        <w:pStyle w:val="FootnoteText"/>
      </w:pPr>
      <w:r>
        <w:rPr>
          <w:rStyle w:val="FootnoteReference"/>
        </w:rPr>
        <w:footnoteRef/>
      </w:r>
      <w:r>
        <w:t xml:space="preserve"> </w:t>
      </w:r>
      <w:r w:rsidR="00050122">
        <w:t>BBC News</w:t>
      </w:r>
      <w:r w:rsidR="00050122">
        <w:t xml:space="preserve">, </w:t>
      </w:r>
      <w:r w:rsidR="001C452A">
        <w:t>‘’Jihadi John’ UK harassment claims revealed in emails</w:t>
      </w:r>
      <w:r w:rsidR="00050122">
        <w:t>’</w:t>
      </w:r>
      <w:r w:rsidR="001C452A">
        <w:t xml:space="preserve"> (BBC NEWS</w:t>
      </w:r>
      <w:r w:rsidR="00050122">
        <w:t xml:space="preserve"> London, </w:t>
      </w:r>
      <w:r w:rsidR="001C452A">
        <w:t>26 February</w:t>
      </w:r>
      <w:r w:rsidR="00050122">
        <w:t xml:space="preserve"> 201</w:t>
      </w:r>
      <w:r w:rsidR="001C452A">
        <w:t>5</w:t>
      </w:r>
      <w:r w:rsidR="00050122">
        <w:t xml:space="preserve">) </w:t>
      </w:r>
      <w:r w:rsidR="001C452A">
        <w:t>&lt;</w:t>
      </w:r>
      <w:r w:rsidR="001C452A" w:rsidRPr="001C452A">
        <w:t xml:space="preserve"> </w:t>
      </w:r>
      <w:hyperlink r:id="rId4" w:history="1">
        <w:r w:rsidR="001C452A" w:rsidRPr="00A63CB7">
          <w:rPr>
            <w:rStyle w:val="Hyperlink"/>
          </w:rPr>
          <w:t>https://www.bbc.co.uk/news/uk-31647271</w:t>
        </w:r>
      </w:hyperlink>
      <w:r w:rsidR="001C452A">
        <w:t>&gt; accessed 25</w:t>
      </w:r>
      <w:r w:rsidR="001C452A" w:rsidRPr="001C452A">
        <w:rPr>
          <w:vertAlign w:val="superscript"/>
        </w:rPr>
        <w:t>th</w:t>
      </w:r>
      <w:r w:rsidR="001C452A">
        <w:t xml:space="preserve"> March 2020. </w:t>
      </w:r>
      <w:r w:rsidR="001C0234">
        <w:t xml:space="preserve">Also, statement in The Guardian’s paper agreeing with this. </w:t>
      </w:r>
    </w:p>
  </w:footnote>
  <w:footnote w:id="150">
    <w:p w14:paraId="61A84ACB" w14:textId="4C342074" w:rsidR="001C452A" w:rsidRDefault="001C452A">
      <w:pPr>
        <w:pStyle w:val="FootnoteText"/>
      </w:pPr>
      <w:r>
        <w:rPr>
          <w:rStyle w:val="FootnoteReference"/>
        </w:rPr>
        <w:footnoteRef/>
      </w:r>
      <w:r>
        <w:t xml:space="preserve"> Ibi</w:t>
      </w:r>
      <w:r w:rsidR="00F30BE2">
        <w:t xml:space="preserve">d. </w:t>
      </w:r>
    </w:p>
  </w:footnote>
  <w:footnote w:id="151">
    <w:p w14:paraId="58BB47BE" w14:textId="44D6AAFD" w:rsidR="006212EC" w:rsidRDefault="006212EC">
      <w:pPr>
        <w:pStyle w:val="FootnoteText"/>
      </w:pPr>
      <w:r>
        <w:rPr>
          <w:rStyle w:val="FootnoteReference"/>
        </w:rPr>
        <w:footnoteRef/>
      </w:r>
      <w:r>
        <w:t xml:space="preserve"> </w:t>
      </w:r>
      <w:r w:rsidR="001C452A">
        <w:t xml:space="preserve">Ibid. </w:t>
      </w:r>
    </w:p>
  </w:footnote>
  <w:footnote w:id="152">
    <w:p w14:paraId="2C511220" w14:textId="72770F3F" w:rsidR="006212EC" w:rsidRDefault="006212EC">
      <w:pPr>
        <w:pStyle w:val="FootnoteText"/>
      </w:pPr>
      <w:r>
        <w:rPr>
          <w:rStyle w:val="FootnoteReference"/>
        </w:rPr>
        <w:footnoteRef/>
      </w:r>
      <w:r>
        <w:t xml:space="preserve"> </w:t>
      </w:r>
      <w:r w:rsidR="001C452A">
        <w:t xml:space="preserve">Ibid. </w:t>
      </w:r>
    </w:p>
  </w:footnote>
  <w:footnote w:id="153">
    <w:p w14:paraId="5568F602" w14:textId="50163506" w:rsidR="006212EC" w:rsidRDefault="006212EC">
      <w:pPr>
        <w:pStyle w:val="FootnoteText"/>
      </w:pPr>
      <w:r>
        <w:rPr>
          <w:rStyle w:val="FootnoteReference"/>
        </w:rPr>
        <w:footnoteRef/>
      </w:r>
      <w:r>
        <w:t xml:space="preserve"> </w:t>
      </w:r>
      <w:r w:rsidR="001C452A" w:rsidRPr="001C452A">
        <w:t>P</w:t>
      </w:r>
      <w:r w:rsidR="001C452A" w:rsidRPr="001C452A">
        <w:t>atriot</w:t>
      </w:r>
      <w:r w:rsidR="001C452A" w:rsidRPr="001C452A">
        <w:t xml:space="preserve"> Act</w:t>
      </w:r>
      <w:r w:rsidR="001C452A">
        <w:t xml:space="preserve"> 2001</w:t>
      </w:r>
    </w:p>
  </w:footnote>
  <w:footnote w:id="154">
    <w:p w14:paraId="4979415F" w14:textId="79DFF75E" w:rsidR="001C452A" w:rsidRDefault="001C452A">
      <w:pPr>
        <w:pStyle w:val="FootnoteText"/>
      </w:pPr>
      <w:r>
        <w:rPr>
          <w:rStyle w:val="FootnoteReference"/>
        </w:rPr>
        <w:footnoteRef/>
      </w:r>
      <w:r>
        <w:t xml:space="preserve"> </w:t>
      </w:r>
      <w:r w:rsidR="00FF27A6" w:rsidRPr="001C0234">
        <w:t>Errol Morris</w:t>
      </w:r>
      <w:r w:rsidR="00FF27A6">
        <w:t xml:space="preserve">, Standard Operating Procedure: Inside Abi Ghraib (first published 2012, </w:t>
      </w:r>
      <w:r w:rsidR="00FF27A6" w:rsidRPr="001C0234">
        <w:t>Pan Macmillan</w:t>
      </w:r>
      <w:r w:rsidR="00FF27A6">
        <w:t>) 34</w:t>
      </w:r>
    </w:p>
  </w:footnote>
  <w:footnote w:id="155">
    <w:p w14:paraId="2919BAB8" w14:textId="5CB58B6E" w:rsidR="00F30BE2" w:rsidRDefault="006212EC" w:rsidP="00F30BE2">
      <w:pPr>
        <w:pStyle w:val="FootnoteText"/>
      </w:pPr>
      <w:r>
        <w:rPr>
          <w:rStyle w:val="FootnoteReference"/>
        </w:rPr>
        <w:footnoteRef/>
      </w:r>
      <w:r>
        <w:t xml:space="preserve"> </w:t>
      </w:r>
      <w:r w:rsidR="00F30BE2">
        <w:t>Richard Hall</w:t>
      </w:r>
      <w:r w:rsidR="00F30BE2">
        <w:t>, ‘</w:t>
      </w:r>
      <w:r w:rsidR="00F30BE2" w:rsidRPr="00F30BE2">
        <w:t>US soldier who abused prisoners at Abu Ghraib refuses to apologise for her actions</w:t>
      </w:r>
      <w:r w:rsidR="00F30BE2">
        <w:t xml:space="preserve"> </w:t>
      </w:r>
      <w:r w:rsidR="00F30BE2">
        <w:t>’</w:t>
      </w:r>
    </w:p>
    <w:p w14:paraId="5764555B" w14:textId="34EB1A68" w:rsidR="006212EC" w:rsidRDefault="00F30BE2">
      <w:pPr>
        <w:pStyle w:val="FootnoteText"/>
      </w:pPr>
      <w:r>
        <w:t>(</w:t>
      </w:r>
      <w:r>
        <w:t>The Independent</w:t>
      </w:r>
      <w:r>
        <w:t xml:space="preserve">, </w:t>
      </w:r>
      <w:r>
        <w:t>21 March 2012</w:t>
      </w:r>
      <w:r>
        <w:t xml:space="preserve">) </w:t>
      </w:r>
      <w:r>
        <w:t>&lt;</w:t>
      </w:r>
      <w:r w:rsidRPr="00F30BE2">
        <w:t xml:space="preserve"> </w:t>
      </w:r>
      <w:r w:rsidRPr="00F30BE2">
        <w:t>https://www.independent.co.uk/news/world/middle-east/us-soldier-who-abused-prisoners-at-abu-ghraib-refuses-to-apologise-for-her-actions-7579422.html</w:t>
      </w:r>
      <w:r>
        <w:t xml:space="preserve">&gt; accessed </w:t>
      </w:r>
      <w:r>
        <w:t>25</w:t>
      </w:r>
      <w:r>
        <w:t xml:space="preserve"> </w:t>
      </w:r>
      <w:r>
        <w:t xml:space="preserve">March 2020. Showing </w:t>
      </w:r>
      <w:r w:rsidR="00FF27A6">
        <w:t xml:space="preserve">Images of security guards electrocuting detainees, putting a dog leash around their neck and dragging them across the ground and placing them on top of each other naked whilst a guard sits on top of them. </w:t>
      </w:r>
    </w:p>
  </w:footnote>
  <w:footnote w:id="156">
    <w:p w14:paraId="67BC442F" w14:textId="4573FE7A" w:rsidR="006212EC" w:rsidRDefault="006212EC" w:rsidP="00D1406C">
      <w:pPr>
        <w:pStyle w:val="FootnoteText"/>
      </w:pPr>
      <w:r>
        <w:rPr>
          <w:rStyle w:val="FootnoteReference"/>
        </w:rPr>
        <w:footnoteRef/>
      </w:r>
      <w:r>
        <w:t xml:space="preserve"> </w:t>
      </w:r>
      <w:r w:rsidR="00F30BE2">
        <w:t>Philip Zimbardo, The Lucifer Effect: Understanding How Good People Turn Evil (first published 2008, Random House) 3-6</w:t>
      </w:r>
    </w:p>
  </w:footnote>
  <w:footnote w:id="157">
    <w:p w14:paraId="023134E8" w14:textId="4D7D3A6B" w:rsidR="006212EC" w:rsidRDefault="006212EC">
      <w:pPr>
        <w:pStyle w:val="FootnoteText"/>
      </w:pPr>
      <w:r>
        <w:rPr>
          <w:rStyle w:val="FootnoteReference"/>
        </w:rPr>
        <w:footnoteRef/>
      </w:r>
      <w:r>
        <w:t xml:space="preserve"> </w:t>
      </w:r>
      <w:r w:rsidR="00F30BE2" w:rsidRPr="00F30BE2">
        <w:t xml:space="preserve">Yuval Ginbar, </w:t>
      </w:r>
      <w:proofErr w:type="gramStart"/>
      <w:r w:rsidR="00F30BE2" w:rsidRPr="00F30BE2">
        <w:t>Why</w:t>
      </w:r>
      <w:proofErr w:type="gramEnd"/>
      <w:r w:rsidR="00F30BE2" w:rsidRPr="00F30BE2">
        <w:t xml:space="preserve"> not torture terrorists? Moral, Practical and Legal perspectives (first published 2008, OUP) </w:t>
      </w:r>
      <w:r w:rsidR="00F30BE2">
        <w:t>60</w:t>
      </w:r>
    </w:p>
  </w:footnote>
  <w:footnote w:id="158">
    <w:p w14:paraId="29371D35" w14:textId="4C3F2923" w:rsidR="006212EC" w:rsidRDefault="006212EC" w:rsidP="006511B6">
      <w:pPr>
        <w:pStyle w:val="FootnoteText"/>
      </w:pPr>
      <w:r>
        <w:rPr>
          <w:rStyle w:val="FootnoteReference"/>
        </w:rPr>
        <w:footnoteRef/>
      </w:r>
      <w:r>
        <w:t xml:space="preserve"> </w:t>
      </w:r>
      <w:r w:rsidR="00F30BE2">
        <w:t xml:space="preserve">Ibid. </w:t>
      </w:r>
    </w:p>
  </w:footnote>
  <w:footnote w:id="159">
    <w:p w14:paraId="36717EA3" w14:textId="158C0A29" w:rsidR="00F30BE2" w:rsidRDefault="00F30BE2">
      <w:pPr>
        <w:pStyle w:val="FootnoteText"/>
      </w:pPr>
      <w:bookmarkStart w:id="98" w:name="_Hlk35967832"/>
      <w:r>
        <w:rPr>
          <w:rStyle w:val="FootnoteReference"/>
        </w:rPr>
        <w:footnoteRef/>
      </w:r>
      <w:r>
        <w:t xml:space="preserve"> Ibid.</w:t>
      </w:r>
    </w:p>
  </w:footnote>
  <w:footnote w:id="160">
    <w:p w14:paraId="3F840786" w14:textId="645D4CEA" w:rsidR="006212EC" w:rsidRDefault="006212EC">
      <w:pPr>
        <w:pStyle w:val="FootnoteText"/>
      </w:pPr>
      <w:r>
        <w:rPr>
          <w:rStyle w:val="FootnoteReference"/>
        </w:rPr>
        <w:footnoteRef/>
      </w:r>
      <w:r>
        <w:t xml:space="preserve"> </w:t>
      </w:r>
      <w:r w:rsidR="00F30BE2">
        <w:t xml:space="preserve">Ibid. </w:t>
      </w:r>
      <w:r w:rsidR="00F30BE2" w:rsidRPr="00F30BE2">
        <w:t>Like the defence of necessity used in criminal law, but, absolves interrogators completely</w:t>
      </w:r>
    </w:p>
  </w:footnote>
  <w:footnote w:id="161">
    <w:p w14:paraId="22BAE469" w14:textId="5A4709C1" w:rsidR="006212EC" w:rsidRDefault="006212EC">
      <w:pPr>
        <w:pStyle w:val="FootnoteText"/>
      </w:pPr>
      <w:r>
        <w:rPr>
          <w:rStyle w:val="FootnoteReference"/>
        </w:rPr>
        <w:footnoteRef/>
      </w:r>
      <w:r>
        <w:t xml:space="preserve"> </w:t>
      </w:r>
      <w:r w:rsidR="00F30BE2">
        <w:t xml:space="preserve">Ibid. </w:t>
      </w:r>
    </w:p>
  </w:footnote>
  <w:footnote w:id="162">
    <w:p w14:paraId="6F125BDC" w14:textId="52A75068" w:rsidR="006212EC" w:rsidRDefault="006212EC">
      <w:pPr>
        <w:pStyle w:val="FootnoteText"/>
      </w:pPr>
      <w:r>
        <w:rPr>
          <w:rStyle w:val="FootnoteReference"/>
        </w:rPr>
        <w:footnoteRef/>
      </w:r>
      <w:r>
        <w:t xml:space="preserve"> </w:t>
      </w:r>
      <w:r w:rsidR="00F30BE2">
        <w:t xml:space="preserve">Ibid. </w:t>
      </w:r>
    </w:p>
  </w:footnote>
  <w:footnote w:id="163">
    <w:p w14:paraId="41445762" w14:textId="2074D2EF" w:rsidR="006212EC" w:rsidRDefault="006212EC">
      <w:pPr>
        <w:pStyle w:val="FootnoteText"/>
      </w:pPr>
      <w:r>
        <w:rPr>
          <w:rStyle w:val="FootnoteReference"/>
        </w:rPr>
        <w:footnoteRef/>
      </w:r>
      <w:r>
        <w:t xml:space="preserve"> </w:t>
      </w:r>
      <w:r w:rsidR="008D615A">
        <w:t xml:space="preserve">Ibid. </w:t>
      </w:r>
    </w:p>
  </w:footnote>
  <w:footnote w:id="164">
    <w:p w14:paraId="5ED29E72" w14:textId="2A0FE19A" w:rsidR="008D615A" w:rsidRDefault="008D615A">
      <w:pPr>
        <w:pStyle w:val="FootnoteText"/>
      </w:pPr>
      <w:r>
        <w:rPr>
          <w:rStyle w:val="FootnoteReference"/>
        </w:rPr>
        <w:footnoteRef/>
      </w:r>
      <w:r>
        <w:t xml:space="preserve"> </w:t>
      </w:r>
      <w:r>
        <w:t>Committee against torture v State of Israel H.C.5100/94</w:t>
      </w:r>
      <w:r>
        <w:t xml:space="preserve"> </w:t>
      </w:r>
      <w:r>
        <w:t>(1999)</w:t>
      </w:r>
    </w:p>
  </w:footnote>
  <w:footnote w:id="165">
    <w:p w14:paraId="083D0CCA" w14:textId="6E80CA3D" w:rsidR="008D615A" w:rsidRDefault="008D615A" w:rsidP="008D615A">
      <w:pPr>
        <w:pStyle w:val="FootnoteText"/>
      </w:pPr>
      <w:r>
        <w:rPr>
          <w:rStyle w:val="FootnoteReference"/>
        </w:rPr>
        <w:footnoteRef/>
      </w:r>
      <w:r>
        <w:t xml:space="preserve"> </w:t>
      </w:r>
      <w:r>
        <w:t xml:space="preserve">Ibid. </w:t>
      </w:r>
    </w:p>
  </w:footnote>
  <w:footnote w:id="166">
    <w:p w14:paraId="5764791A" w14:textId="1CDD2589" w:rsidR="008D615A" w:rsidRDefault="008D615A">
      <w:pPr>
        <w:pStyle w:val="FootnoteText"/>
      </w:pPr>
      <w:r>
        <w:rPr>
          <w:rStyle w:val="FootnoteReference"/>
        </w:rPr>
        <w:footnoteRef/>
      </w:r>
      <w:r>
        <w:t xml:space="preserve"> Ibid. </w:t>
      </w:r>
      <w:r w:rsidRPr="00352FE5">
        <w:t xml:space="preserve">‘the torture did not even secure a conviction or criminal charge, and GSS agents were charged only once </w:t>
      </w:r>
      <w:r>
        <w:t>for</w:t>
      </w:r>
      <w:r w:rsidRPr="00352FE5">
        <w:t xml:space="preserve"> excessive use of force, </w:t>
      </w:r>
      <w:r>
        <w:t xml:space="preserve">although, it was </w:t>
      </w:r>
      <w:r w:rsidRPr="00352FE5">
        <w:t>systematic’</w:t>
      </w:r>
    </w:p>
  </w:footnote>
  <w:footnote w:id="167">
    <w:p w14:paraId="297404B4" w14:textId="679C801C" w:rsidR="006E3888" w:rsidRDefault="006E3888">
      <w:pPr>
        <w:pStyle w:val="FootnoteText"/>
      </w:pPr>
      <w:r>
        <w:rPr>
          <w:rStyle w:val="FootnoteReference"/>
        </w:rPr>
        <w:footnoteRef/>
      </w:r>
      <w:r>
        <w:t xml:space="preserve"> Ibid. </w:t>
      </w:r>
    </w:p>
  </w:footnote>
  <w:footnote w:id="168">
    <w:p w14:paraId="522E414F" w14:textId="29BB2585" w:rsidR="006E3888" w:rsidRDefault="006E3888" w:rsidP="006E3888">
      <w:pPr>
        <w:pStyle w:val="FootnoteText"/>
      </w:pPr>
      <w:r>
        <w:rPr>
          <w:rStyle w:val="FootnoteReference"/>
        </w:rPr>
        <w:footnoteRef/>
      </w:r>
      <w:r>
        <w:t xml:space="preserve"> </w:t>
      </w:r>
      <w:r>
        <w:t xml:space="preserve">Ibid. </w:t>
      </w:r>
    </w:p>
  </w:footnote>
  <w:footnote w:id="169">
    <w:p w14:paraId="36BF808A" w14:textId="7A879386" w:rsidR="006212EC" w:rsidRDefault="006212EC" w:rsidP="00216E11">
      <w:pPr>
        <w:pStyle w:val="FootnoteText"/>
      </w:pPr>
      <w:r>
        <w:rPr>
          <w:rStyle w:val="FootnoteReference"/>
        </w:rPr>
        <w:footnoteRef/>
      </w:r>
      <w:r>
        <w:t xml:space="preserve">   </w:t>
      </w:r>
      <w:r w:rsidRPr="00501E97">
        <w:t xml:space="preserve">Gafgen, and </w:t>
      </w:r>
      <w:proofErr w:type="spellStart"/>
      <w:r w:rsidRPr="00501E97">
        <w:t>Tomasi</w:t>
      </w:r>
      <w:proofErr w:type="spellEnd"/>
      <w:r w:rsidRPr="00501E97">
        <w:t xml:space="preserve"> case.</w:t>
      </w:r>
    </w:p>
  </w:footnote>
  <w:footnote w:id="170">
    <w:p w14:paraId="6DC36A51" w14:textId="0C4DE739" w:rsidR="006212EC" w:rsidRDefault="006212EC">
      <w:pPr>
        <w:pStyle w:val="FootnoteText"/>
      </w:pPr>
      <w:r>
        <w:rPr>
          <w:rStyle w:val="FootnoteReference"/>
        </w:rPr>
        <w:footnoteRef/>
      </w:r>
      <w:r>
        <w:t xml:space="preserve">   </w:t>
      </w:r>
      <w:r w:rsidRPr="00501E97">
        <w:t xml:space="preserve">El </w:t>
      </w:r>
      <w:proofErr w:type="spellStart"/>
      <w:r w:rsidRPr="00501E97">
        <w:t>masri</w:t>
      </w:r>
      <w:proofErr w:type="spellEnd"/>
      <w:r>
        <w:t xml:space="preserv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0CF5" w14:textId="7197310C" w:rsidR="00121489" w:rsidRPr="00121489" w:rsidRDefault="00121489">
    <w:pPr>
      <w:pStyle w:val="Header"/>
      <w:pBdr>
        <w:bottom w:val="single" w:sz="4" w:space="1" w:color="D9D9D9" w:themeColor="background1" w:themeShade="D9"/>
      </w:pBdr>
    </w:pPr>
  </w:p>
  <w:p w14:paraId="48ED8E9F" w14:textId="77777777" w:rsidR="009B1F38" w:rsidRDefault="009B1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136986"/>
      <w:docPartObj>
        <w:docPartGallery w:val="Page Numbers (Top of Page)"/>
        <w:docPartUnique/>
      </w:docPartObj>
    </w:sdtPr>
    <w:sdtEndPr>
      <w:rPr>
        <w:color w:val="7F7F7F" w:themeColor="background1" w:themeShade="7F"/>
        <w:spacing w:val="60"/>
      </w:rPr>
    </w:sdtEndPr>
    <w:sdtContent>
      <w:p w14:paraId="764AFA6E" w14:textId="12BEDFC1" w:rsidR="009D6080" w:rsidRDefault="009D608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45C5C3A" w14:textId="77777777" w:rsidR="009D6080" w:rsidRDefault="009D6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88214"/>
      <w:docPartObj>
        <w:docPartGallery w:val="Page Numbers (Top of Page)"/>
        <w:docPartUnique/>
      </w:docPartObj>
    </w:sdtPr>
    <w:sdtEndPr>
      <w:rPr>
        <w:color w:val="7F7F7F" w:themeColor="background1" w:themeShade="7F"/>
        <w:spacing w:val="60"/>
      </w:rPr>
    </w:sdtEndPr>
    <w:sdtContent>
      <w:p w14:paraId="385399F3" w14:textId="64C10468" w:rsidR="00BB3638" w:rsidRDefault="00BB363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DD52523" w14:textId="77777777" w:rsidR="00BB3638" w:rsidRDefault="00BB3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CEA"/>
    <w:multiLevelType w:val="hybridMultilevel"/>
    <w:tmpl w:val="4AD8B868"/>
    <w:lvl w:ilvl="0" w:tplc="2CAE6C0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E12B4"/>
    <w:multiLevelType w:val="hybridMultilevel"/>
    <w:tmpl w:val="4C90B0E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D1B41"/>
    <w:multiLevelType w:val="hybridMultilevel"/>
    <w:tmpl w:val="607AC28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000E0"/>
    <w:multiLevelType w:val="hybridMultilevel"/>
    <w:tmpl w:val="73B6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265FB"/>
    <w:multiLevelType w:val="hybridMultilevel"/>
    <w:tmpl w:val="35BE2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93E78"/>
    <w:multiLevelType w:val="hybridMultilevel"/>
    <w:tmpl w:val="C8A858AA"/>
    <w:lvl w:ilvl="0" w:tplc="D7045D4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D06B8"/>
    <w:multiLevelType w:val="hybridMultilevel"/>
    <w:tmpl w:val="FE9E9BC8"/>
    <w:lvl w:ilvl="0" w:tplc="89088A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457CC"/>
    <w:multiLevelType w:val="hybridMultilevel"/>
    <w:tmpl w:val="502C14F8"/>
    <w:lvl w:ilvl="0" w:tplc="B4F0FB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73BE9"/>
    <w:multiLevelType w:val="hybridMultilevel"/>
    <w:tmpl w:val="1D1E7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8095C"/>
    <w:multiLevelType w:val="hybridMultilevel"/>
    <w:tmpl w:val="B734BF30"/>
    <w:lvl w:ilvl="0" w:tplc="B4F0FB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639D4"/>
    <w:multiLevelType w:val="hybridMultilevel"/>
    <w:tmpl w:val="C172E8D0"/>
    <w:lvl w:ilvl="0" w:tplc="8B36387E">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F57F9"/>
    <w:multiLevelType w:val="hybridMultilevel"/>
    <w:tmpl w:val="C75C9F6C"/>
    <w:lvl w:ilvl="0" w:tplc="666E032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D1D87"/>
    <w:multiLevelType w:val="hybridMultilevel"/>
    <w:tmpl w:val="E878D264"/>
    <w:lvl w:ilvl="0" w:tplc="AE0EBE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F4563"/>
    <w:multiLevelType w:val="hybridMultilevel"/>
    <w:tmpl w:val="607AC28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8867EC"/>
    <w:multiLevelType w:val="hybridMultilevel"/>
    <w:tmpl w:val="33A48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26233"/>
    <w:multiLevelType w:val="hybridMultilevel"/>
    <w:tmpl w:val="1018EB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920C4"/>
    <w:multiLevelType w:val="hybridMultilevel"/>
    <w:tmpl w:val="B3928F4A"/>
    <w:lvl w:ilvl="0" w:tplc="1552320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5"/>
  </w:num>
  <w:num w:numId="5">
    <w:abstractNumId w:val="6"/>
  </w:num>
  <w:num w:numId="6">
    <w:abstractNumId w:val="16"/>
  </w:num>
  <w:num w:numId="7">
    <w:abstractNumId w:val="11"/>
  </w:num>
  <w:num w:numId="8">
    <w:abstractNumId w:val="12"/>
  </w:num>
  <w:num w:numId="9">
    <w:abstractNumId w:val="8"/>
  </w:num>
  <w:num w:numId="10">
    <w:abstractNumId w:val="9"/>
  </w:num>
  <w:num w:numId="11">
    <w:abstractNumId w:val="2"/>
  </w:num>
  <w:num w:numId="12">
    <w:abstractNumId w:val="13"/>
  </w:num>
  <w:num w:numId="13">
    <w:abstractNumId w:val="4"/>
  </w:num>
  <w:num w:numId="14">
    <w:abstractNumId w:val="7"/>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09"/>
    <w:rsid w:val="00002486"/>
    <w:rsid w:val="000042A4"/>
    <w:rsid w:val="00005598"/>
    <w:rsid w:val="00007068"/>
    <w:rsid w:val="000108C7"/>
    <w:rsid w:val="000154A7"/>
    <w:rsid w:val="00015856"/>
    <w:rsid w:val="00015873"/>
    <w:rsid w:val="000166FB"/>
    <w:rsid w:val="000212B3"/>
    <w:rsid w:val="00021921"/>
    <w:rsid w:val="0002281E"/>
    <w:rsid w:val="00027E0E"/>
    <w:rsid w:val="000311A3"/>
    <w:rsid w:val="00031764"/>
    <w:rsid w:val="00032127"/>
    <w:rsid w:val="0003314C"/>
    <w:rsid w:val="00033C5B"/>
    <w:rsid w:val="0003596A"/>
    <w:rsid w:val="00036A7E"/>
    <w:rsid w:val="000377DE"/>
    <w:rsid w:val="00037C97"/>
    <w:rsid w:val="00041643"/>
    <w:rsid w:val="00041E02"/>
    <w:rsid w:val="0004591B"/>
    <w:rsid w:val="00047726"/>
    <w:rsid w:val="00050122"/>
    <w:rsid w:val="00050294"/>
    <w:rsid w:val="00052D7A"/>
    <w:rsid w:val="0005380E"/>
    <w:rsid w:val="000554F6"/>
    <w:rsid w:val="00065B67"/>
    <w:rsid w:val="00066413"/>
    <w:rsid w:val="000670D2"/>
    <w:rsid w:val="000721D6"/>
    <w:rsid w:val="0007356C"/>
    <w:rsid w:val="000762BC"/>
    <w:rsid w:val="00081726"/>
    <w:rsid w:val="0008209C"/>
    <w:rsid w:val="000829BB"/>
    <w:rsid w:val="000839C5"/>
    <w:rsid w:val="00085DCC"/>
    <w:rsid w:val="00086008"/>
    <w:rsid w:val="00092BA8"/>
    <w:rsid w:val="0009750C"/>
    <w:rsid w:val="000A0F3D"/>
    <w:rsid w:val="000A16AE"/>
    <w:rsid w:val="000A3C0B"/>
    <w:rsid w:val="000A6E53"/>
    <w:rsid w:val="000B00D9"/>
    <w:rsid w:val="000B35F8"/>
    <w:rsid w:val="000C0453"/>
    <w:rsid w:val="000C1EE2"/>
    <w:rsid w:val="000C3B01"/>
    <w:rsid w:val="000C5978"/>
    <w:rsid w:val="000D07F0"/>
    <w:rsid w:val="000D1A72"/>
    <w:rsid w:val="000D2026"/>
    <w:rsid w:val="000D2755"/>
    <w:rsid w:val="000D3A7F"/>
    <w:rsid w:val="000D3E6A"/>
    <w:rsid w:val="000D57C2"/>
    <w:rsid w:val="000E01EC"/>
    <w:rsid w:val="000E0562"/>
    <w:rsid w:val="000E1D4F"/>
    <w:rsid w:val="000E5511"/>
    <w:rsid w:val="000E67A3"/>
    <w:rsid w:val="000E7353"/>
    <w:rsid w:val="000E78FF"/>
    <w:rsid w:val="000E7C92"/>
    <w:rsid w:val="000E7E2B"/>
    <w:rsid w:val="000F0DA4"/>
    <w:rsid w:val="000F5618"/>
    <w:rsid w:val="00101037"/>
    <w:rsid w:val="00101950"/>
    <w:rsid w:val="00104538"/>
    <w:rsid w:val="001067EC"/>
    <w:rsid w:val="00106FE7"/>
    <w:rsid w:val="00107472"/>
    <w:rsid w:val="00107A71"/>
    <w:rsid w:val="001113B9"/>
    <w:rsid w:val="00112BD7"/>
    <w:rsid w:val="00113792"/>
    <w:rsid w:val="001140E6"/>
    <w:rsid w:val="00114F41"/>
    <w:rsid w:val="00115C43"/>
    <w:rsid w:val="0012028C"/>
    <w:rsid w:val="0012104C"/>
    <w:rsid w:val="00121489"/>
    <w:rsid w:val="00122FEA"/>
    <w:rsid w:val="00123CAF"/>
    <w:rsid w:val="00127820"/>
    <w:rsid w:val="0013179F"/>
    <w:rsid w:val="001325EA"/>
    <w:rsid w:val="00137CF0"/>
    <w:rsid w:val="0014790B"/>
    <w:rsid w:val="00152113"/>
    <w:rsid w:val="001524DB"/>
    <w:rsid w:val="00154415"/>
    <w:rsid w:val="00157B5F"/>
    <w:rsid w:val="00165535"/>
    <w:rsid w:val="0016566D"/>
    <w:rsid w:val="00170308"/>
    <w:rsid w:val="00173918"/>
    <w:rsid w:val="0017476F"/>
    <w:rsid w:val="001760A5"/>
    <w:rsid w:val="001772B2"/>
    <w:rsid w:val="001837D9"/>
    <w:rsid w:val="00184E29"/>
    <w:rsid w:val="0018598B"/>
    <w:rsid w:val="00186EB3"/>
    <w:rsid w:val="001909B3"/>
    <w:rsid w:val="001919CE"/>
    <w:rsid w:val="001919FE"/>
    <w:rsid w:val="00192E61"/>
    <w:rsid w:val="0019627B"/>
    <w:rsid w:val="001A177C"/>
    <w:rsid w:val="001A5EFF"/>
    <w:rsid w:val="001A7110"/>
    <w:rsid w:val="001A7F5C"/>
    <w:rsid w:val="001B02D0"/>
    <w:rsid w:val="001B0CB6"/>
    <w:rsid w:val="001B54FE"/>
    <w:rsid w:val="001B74B3"/>
    <w:rsid w:val="001B7A53"/>
    <w:rsid w:val="001C01A8"/>
    <w:rsid w:val="001C0234"/>
    <w:rsid w:val="001C193A"/>
    <w:rsid w:val="001C452A"/>
    <w:rsid w:val="001C5181"/>
    <w:rsid w:val="001C76AD"/>
    <w:rsid w:val="001C7F4F"/>
    <w:rsid w:val="001D37D9"/>
    <w:rsid w:val="001D4D62"/>
    <w:rsid w:val="001D68C8"/>
    <w:rsid w:val="001E0388"/>
    <w:rsid w:val="001E214B"/>
    <w:rsid w:val="001E5390"/>
    <w:rsid w:val="001E6B5A"/>
    <w:rsid w:val="001E6E7D"/>
    <w:rsid w:val="001E7CB5"/>
    <w:rsid w:val="001F029D"/>
    <w:rsid w:val="001F1536"/>
    <w:rsid w:val="001F38B9"/>
    <w:rsid w:val="001F71FD"/>
    <w:rsid w:val="002003E9"/>
    <w:rsid w:val="0020045E"/>
    <w:rsid w:val="00200F3F"/>
    <w:rsid w:val="0020104D"/>
    <w:rsid w:val="00201A6F"/>
    <w:rsid w:val="00204598"/>
    <w:rsid w:val="00207A2E"/>
    <w:rsid w:val="0021048B"/>
    <w:rsid w:val="00210F18"/>
    <w:rsid w:val="002111D7"/>
    <w:rsid w:val="002114F9"/>
    <w:rsid w:val="002120C1"/>
    <w:rsid w:val="00213711"/>
    <w:rsid w:val="00214858"/>
    <w:rsid w:val="0021514C"/>
    <w:rsid w:val="002164AB"/>
    <w:rsid w:val="00216E11"/>
    <w:rsid w:val="0022040F"/>
    <w:rsid w:val="002223C5"/>
    <w:rsid w:val="0022558E"/>
    <w:rsid w:val="002277AC"/>
    <w:rsid w:val="0022791A"/>
    <w:rsid w:val="00230169"/>
    <w:rsid w:val="00231E8E"/>
    <w:rsid w:val="0023337C"/>
    <w:rsid w:val="002401BD"/>
    <w:rsid w:val="002402EA"/>
    <w:rsid w:val="0024081B"/>
    <w:rsid w:val="00240E88"/>
    <w:rsid w:val="00242EB1"/>
    <w:rsid w:val="002432EB"/>
    <w:rsid w:val="00243720"/>
    <w:rsid w:val="002437FF"/>
    <w:rsid w:val="00247AEF"/>
    <w:rsid w:val="00254550"/>
    <w:rsid w:val="00254909"/>
    <w:rsid w:val="0025791C"/>
    <w:rsid w:val="00257A8C"/>
    <w:rsid w:val="0026150A"/>
    <w:rsid w:val="002647EE"/>
    <w:rsid w:val="00270092"/>
    <w:rsid w:val="00270276"/>
    <w:rsid w:val="00271752"/>
    <w:rsid w:val="00271A84"/>
    <w:rsid w:val="00283DAD"/>
    <w:rsid w:val="002855A3"/>
    <w:rsid w:val="0028772E"/>
    <w:rsid w:val="00292BA8"/>
    <w:rsid w:val="002931FA"/>
    <w:rsid w:val="0029357D"/>
    <w:rsid w:val="00297AC7"/>
    <w:rsid w:val="002A0D9D"/>
    <w:rsid w:val="002A11B0"/>
    <w:rsid w:val="002A2196"/>
    <w:rsid w:val="002A65D3"/>
    <w:rsid w:val="002B3D58"/>
    <w:rsid w:val="002B4295"/>
    <w:rsid w:val="002B47F0"/>
    <w:rsid w:val="002B6786"/>
    <w:rsid w:val="002C114A"/>
    <w:rsid w:val="002C2A46"/>
    <w:rsid w:val="002C72C1"/>
    <w:rsid w:val="002C7C93"/>
    <w:rsid w:val="002D2BD9"/>
    <w:rsid w:val="002D4ECA"/>
    <w:rsid w:val="002E1559"/>
    <w:rsid w:val="002E4B6F"/>
    <w:rsid w:val="002E6278"/>
    <w:rsid w:val="002E66A0"/>
    <w:rsid w:val="002E6CBC"/>
    <w:rsid w:val="002F1258"/>
    <w:rsid w:val="002F226A"/>
    <w:rsid w:val="002F569E"/>
    <w:rsid w:val="003007D5"/>
    <w:rsid w:val="00302775"/>
    <w:rsid w:val="003030A1"/>
    <w:rsid w:val="003031E7"/>
    <w:rsid w:val="003039BA"/>
    <w:rsid w:val="003115AD"/>
    <w:rsid w:val="00312375"/>
    <w:rsid w:val="0031269D"/>
    <w:rsid w:val="00313D0F"/>
    <w:rsid w:val="00314E2D"/>
    <w:rsid w:val="003151A3"/>
    <w:rsid w:val="0031753E"/>
    <w:rsid w:val="0032064C"/>
    <w:rsid w:val="0032146F"/>
    <w:rsid w:val="00321DA4"/>
    <w:rsid w:val="00322BD3"/>
    <w:rsid w:val="00323E25"/>
    <w:rsid w:val="00323E9C"/>
    <w:rsid w:val="0032780F"/>
    <w:rsid w:val="0033024E"/>
    <w:rsid w:val="003316FA"/>
    <w:rsid w:val="00331ACF"/>
    <w:rsid w:val="00335035"/>
    <w:rsid w:val="0033587F"/>
    <w:rsid w:val="003407F6"/>
    <w:rsid w:val="00340865"/>
    <w:rsid w:val="00344794"/>
    <w:rsid w:val="00345441"/>
    <w:rsid w:val="003471D0"/>
    <w:rsid w:val="003519B3"/>
    <w:rsid w:val="00354B1E"/>
    <w:rsid w:val="00355371"/>
    <w:rsid w:val="00355B27"/>
    <w:rsid w:val="00356ADE"/>
    <w:rsid w:val="003614EF"/>
    <w:rsid w:val="00365273"/>
    <w:rsid w:val="00372172"/>
    <w:rsid w:val="0037250E"/>
    <w:rsid w:val="00374287"/>
    <w:rsid w:val="00375264"/>
    <w:rsid w:val="003778A4"/>
    <w:rsid w:val="0038197E"/>
    <w:rsid w:val="003865D0"/>
    <w:rsid w:val="003867EB"/>
    <w:rsid w:val="00387147"/>
    <w:rsid w:val="00387212"/>
    <w:rsid w:val="003913E6"/>
    <w:rsid w:val="0039438E"/>
    <w:rsid w:val="003970A1"/>
    <w:rsid w:val="003977B7"/>
    <w:rsid w:val="00397B0B"/>
    <w:rsid w:val="003A4ACD"/>
    <w:rsid w:val="003A58F6"/>
    <w:rsid w:val="003A6FB7"/>
    <w:rsid w:val="003B4881"/>
    <w:rsid w:val="003B4ABE"/>
    <w:rsid w:val="003B59B3"/>
    <w:rsid w:val="003C5E59"/>
    <w:rsid w:val="003C5F07"/>
    <w:rsid w:val="003C5F79"/>
    <w:rsid w:val="003C68E8"/>
    <w:rsid w:val="003C6B9C"/>
    <w:rsid w:val="003D29FF"/>
    <w:rsid w:val="003D2A1D"/>
    <w:rsid w:val="003D6457"/>
    <w:rsid w:val="003D7D19"/>
    <w:rsid w:val="003E1672"/>
    <w:rsid w:val="003E3A02"/>
    <w:rsid w:val="003E4EA1"/>
    <w:rsid w:val="003E6EC2"/>
    <w:rsid w:val="003F2CC4"/>
    <w:rsid w:val="003F2D4C"/>
    <w:rsid w:val="003F5023"/>
    <w:rsid w:val="003F551B"/>
    <w:rsid w:val="003F5997"/>
    <w:rsid w:val="00400BFC"/>
    <w:rsid w:val="00404FFF"/>
    <w:rsid w:val="0040530E"/>
    <w:rsid w:val="00405B95"/>
    <w:rsid w:val="00406F80"/>
    <w:rsid w:val="004227C4"/>
    <w:rsid w:val="00424846"/>
    <w:rsid w:val="00427466"/>
    <w:rsid w:val="0043102C"/>
    <w:rsid w:val="004318D7"/>
    <w:rsid w:val="004319DE"/>
    <w:rsid w:val="0043208A"/>
    <w:rsid w:val="004322C3"/>
    <w:rsid w:val="00432711"/>
    <w:rsid w:val="00434CDE"/>
    <w:rsid w:val="004354D5"/>
    <w:rsid w:val="00436668"/>
    <w:rsid w:val="00436C7F"/>
    <w:rsid w:val="004407AE"/>
    <w:rsid w:val="00440F53"/>
    <w:rsid w:val="00441D7E"/>
    <w:rsid w:val="00442DE2"/>
    <w:rsid w:val="00445597"/>
    <w:rsid w:val="004459F0"/>
    <w:rsid w:val="00447AD6"/>
    <w:rsid w:val="00450D65"/>
    <w:rsid w:val="00450FDF"/>
    <w:rsid w:val="00453BB3"/>
    <w:rsid w:val="00455CD8"/>
    <w:rsid w:val="004600D6"/>
    <w:rsid w:val="00462674"/>
    <w:rsid w:val="00463CAD"/>
    <w:rsid w:val="00464918"/>
    <w:rsid w:val="00465C16"/>
    <w:rsid w:val="00470F07"/>
    <w:rsid w:val="00476240"/>
    <w:rsid w:val="0047679B"/>
    <w:rsid w:val="004772BB"/>
    <w:rsid w:val="00481FCF"/>
    <w:rsid w:val="004829F7"/>
    <w:rsid w:val="00483E57"/>
    <w:rsid w:val="0048417F"/>
    <w:rsid w:val="00484A85"/>
    <w:rsid w:val="0048528D"/>
    <w:rsid w:val="004860BF"/>
    <w:rsid w:val="00487A17"/>
    <w:rsid w:val="00487C1E"/>
    <w:rsid w:val="00492639"/>
    <w:rsid w:val="00492FA2"/>
    <w:rsid w:val="00493E1C"/>
    <w:rsid w:val="00495EB0"/>
    <w:rsid w:val="004A0EA3"/>
    <w:rsid w:val="004A12B2"/>
    <w:rsid w:val="004A50A3"/>
    <w:rsid w:val="004A6045"/>
    <w:rsid w:val="004B141A"/>
    <w:rsid w:val="004B2A9F"/>
    <w:rsid w:val="004B36F3"/>
    <w:rsid w:val="004B4E10"/>
    <w:rsid w:val="004B5006"/>
    <w:rsid w:val="004B58D5"/>
    <w:rsid w:val="004B65BC"/>
    <w:rsid w:val="004B711C"/>
    <w:rsid w:val="004C0AD0"/>
    <w:rsid w:val="004C3645"/>
    <w:rsid w:val="004C732D"/>
    <w:rsid w:val="004D0E40"/>
    <w:rsid w:val="004D10A8"/>
    <w:rsid w:val="004D1171"/>
    <w:rsid w:val="004D1CB2"/>
    <w:rsid w:val="004D4751"/>
    <w:rsid w:val="004D6AB3"/>
    <w:rsid w:val="004D6F34"/>
    <w:rsid w:val="004D7745"/>
    <w:rsid w:val="004D7FDB"/>
    <w:rsid w:val="004E156E"/>
    <w:rsid w:val="004E465B"/>
    <w:rsid w:val="004E66A1"/>
    <w:rsid w:val="004E7009"/>
    <w:rsid w:val="004F0117"/>
    <w:rsid w:val="004F3ED2"/>
    <w:rsid w:val="004F482A"/>
    <w:rsid w:val="00501B8F"/>
    <w:rsid w:val="00501E97"/>
    <w:rsid w:val="00505FFB"/>
    <w:rsid w:val="00506822"/>
    <w:rsid w:val="00510527"/>
    <w:rsid w:val="00510DE1"/>
    <w:rsid w:val="005155AE"/>
    <w:rsid w:val="00515835"/>
    <w:rsid w:val="0051597D"/>
    <w:rsid w:val="00523532"/>
    <w:rsid w:val="005264FC"/>
    <w:rsid w:val="00526B8F"/>
    <w:rsid w:val="00527ADB"/>
    <w:rsid w:val="00535D46"/>
    <w:rsid w:val="0053619B"/>
    <w:rsid w:val="00540BF6"/>
    <w:rsid w:val="005478C4"/>
    <w:rsid w:val="005508EF"/>
    <w:rsid w:val="0055107B"/>
    <w:rsid w:val="00553F85"/>
    <w:rsid w:val="00555138"/>
    <w:rsid w:val="00555ABC"/>
    <w:rsid w:val="00555B77"/>
    <w:rsid w:val="00556786"/>
    <w:rsid w:val="005572DF"/>
    <w:rsid w:val="0056268B"/>
    <w:rsid w:val="0056438C"/>
    <w:rsid w:val="00564C36"/>
    <w:rsid w:val="005679D3"/>
    <w:rsid w:val="00572917"/>
    <w:rsid w:val="005736F1"/>
    <w:rsid w:val="00575C6A"/>
    <w:rsid w:val="00576368"/>
    <w:rsid w:val="0057774B"/>
    <w:rsid w:val="00584C27"/>
    <w:rsid w:val="005852A3"/>
    <w:rsid w:val="005872A0"/>
    <w:rsid w:val="00587729"/>
    <w:rsid w:val="005879C3"/>
    <w:rsid w:val="00590F83"/>
    <w:rsid w:val="00592EB2"/>
    <w:rsid w:val="00594F90"/>
    <w:rsid w:val="00596AEB"/>
    <w:rsid w:val="005972D6"/>
    <w:rsid w:val="005975BB"/>
    <w:rsid w:val="005A101A"/>
    <w:rsid w:val="005A31AE"/>
    <w:rsid w:val="005A4943"/>
    <w:rsid w:val="005A5A57"/>
    <w:rsid w:val="005B1B09"/>
    <w:rsid w:val="005B1BF5"/>
    <w:rsid w:val="005B2794"/>
    <w:rsid w:val="005B3462"/>
    <w:rsid w:val="005B5173"/>
    <w:rsid w:val="005B5DCE"/>
    <w:rsid w:val="005B63FC"/>
    <w:rsid w:val="005B6723"/>
    <w:rsid w:val="005C260E"/>
    <w:rsid w:val="005C41A8"/>
    <w:rsid w:val="005C44E1"/>
    <w:rsid w:val="005C466D"/>
    <w:rsid w:val="005D1992"/>
    <w:rsid w:val="005D6A9D"/>
    <w:rsid w:val="005D72AD"/>
    <w:rsid w:val="005E1254"/>
    <w:rsid w:val="005E1458"/>
    <w:rsid w:val="005E189D"/>
    <w:rsid w:val="005E4137"/>
    <w:rsid w:val="005F02AF"/>
    <w:rsid w:val="005F07B9"/>
    <w:rsid w:val="005F1C24"/>
    <w:rsid w:val="005F1C94"/>
    <w:rsid w:val="005F2976"/>
    <w:rsid w:val="005F3A25"/>
    <w:rsid w:val="005F3C03"/>
    <w:rsid w:val="005F5803"/>
    <w:rsid w:val="005F7D72"/>
    <w:rsid w:val="00601C6A"/>
    <w:rsid w:val="006058D7"/>
    <w:rsid w:val="00606242"/>
    <w:rsid w:val="0060738E"/>
    <w:rsid w:val="0060788B"/>
    <w:rsid w:val="00610819"/>
    <w:rsid w:val="00612A50"/>
    <w:rsid w:val="00615415"/>
    <w:rsid w:val="006166BB"/>
    <w:rsid w:val="00616C8C"/>
    <w:rsid w:val="006170D8"/>
    <w:rsid w:val="00620A89"/>
    <w:rsid w:val="006212EC"/>
    <w:rsid w:val="006237E2"/>
    <w:rsid w:val="00624F73"/>
    <w:rsid w:val="00627F16"/>
    <w:rsid w:val="00630314"/>
    <w:rsid w:val="00630BCD"/>
    <w:rsid w:val="00632953"/>
    <w:rsid w:val="006329CF"/>
    <w:rsid w:val="00633494"/>
    <w:rsid w:val="00635994"/>
    <w:rsid w:val="00641394"/>
    <w:rsid w:val="006415F3"/>
    <w:rsid w:val="00645413"/>
    <w:rsid w:val="006511B6"/>
    <w:rsid w:val="006529EE"/>
    <w:rsid w:val="00652BF5"/>
    <w:rsid w:val="00654231"/>
    <w:rsid w:val="00655C26"/>
    <w:rsid w:val="00655CE9"/>
    <w:rsid w:val="006564CA"/>
    <w:rsid w:val="00664379"/>
    <w:rsid w:val="00665FC2"/>
    <w:rsid w:val="006712EF"/>
    <w:rsid w:val="006715F1"/>
    <w:rsid w:val="00672889"/>
    <w:rsid w:val="00676618"/>
    <w:rsid w:val="00676722"/>
    <w:rsid w:val="00692C26"/>
    <w:rsid w:val="006948CE"/>
    <w:rsid w:val="00695B98"/>
    <w:rsid w:val="00695E41"/>
    <w:rsid w:val="00697C3C"/>
    <w:rsid w:val="006A044E"/>
    <w:rsid w:val="006A16C1"/>
    <w:rsid w:val="006A343D"/>
    <w:rsid w:val="006A3E03"/>
    <w:rsid w:val="006A46B1"/>
    <w:rsid w:val="006B4072"/>
    <w:rsid w:val="006B4AF7"/>
    <w:rsid w:val="006B4C9B"/>
    <w:rsid w:val="006B55CA"/>
    <w:rsid w:val="006C456E"/>
    <w:rsid w:val="006C45D6"/>
    <w:rsid w:val="006C6319"/>
    <w:rsid w:val="006D1110"/>
    <w:rsid w:val="006D184A"/>
    <w:rsid w:val="006D3035"/>
    <w:rsid w:val="006D5A1E"/>
    <w:rsid w:val="006D6EB3"/>
    <w:rsid w:val="006D7ABE"/>
    <w:rsid w:val="006E21A0"/>
    <w:rsid w:val="006E3888"/>
    <w:rsid w:val="006E5B90"/>
    <w:rsid w:val="006F3C10"/>
    <w:rsid w:val="006F5EB5"/>
    <w:rsid w:val="00700B84"/>
    <w:rsid w:val="007035CD"/>
    <w:rsid w:val="00705170"/>
    <w:rsid w:val="0070587F"/>
    <w:rsid w:val="00711034"/>
    <w:rsid w:val="00712CDA"/>
    <w:rsid w:val="00715284"/>
    <w:rsid w:val="007157EC"/>
    <w:rsid w:val="00715FAD"/>
    <w:rsid w:val="00717ADF"/>
    <w:rsid w:val="007235A5"/>
    <w:rsid w:val="00724C57"/>
    <w:rsid w:val="00725E17"/>
    <w:rsid w:val="00725F33"/>
    <w:rsid w:val="00725FD7"/>
    <w:rsid w:val="007266D7"/>
    <w:rsid w:val="00726F0F"/>
    <w:rsid w:val="007271EB"/>
    <w:rsid w:val="00730A6E"/>
    <w:rsid w:val="00731B25"/>
    <w:rsid w:val="007325CB"/>
    <w:rsid w:val="0073289E"/>
    <w:rsid w:val="007361A4"/>
    <w:rsid w:val="00737416"/>
    <w:rsid w:val="00740A41"/>
    <w:rsid w:val="0074131A"/>
    <w:rsid w:val="00742919"/>
    <w:rsid w:val="007472AA"/>
    <w:rsid w:val="00750EA8"/>
    <w:rsid w:val="00754606"/>
    <w:rsid w:val="0075510B"/>
    <w:rsid w:val="00756DF1"/>
    <w:rsid w:val="00760826"/>
    <w:rsid w:val="00760E4E"/>
    <w:rsid w:val="007619DE"/>
    <w:rsid w:val="0076330D"/>
    <w:rsid w:val="007645F0"/>
    <w:rsid w:val="00765F87"/>
    <w:rsid w:val="007709F6"/>
    <w:rsid w:val="007715B2"/>
    <w:rsid w:val="007716D3"/>
    <w:rsid w:val="00771D58"/>
    <w:rsid w:val="007727D7"/>
    <w:rsid w:val="007759C2"/>
    <w:rsid w:val="00775CC6"/>
    <w:rsid w:val="00777F42"/>
    <w:rsid w:val="00781D5A"/>
    <w:rsid w:val="00782986"/>
    <w:rsid w:val="00782BE3"/>
    <w:rsid w:val="0078611A"/>
    <w:rsid w:val="00792138"/>
    <w:rsid w:val="0079415C"/>
    <w:rsid w:val="00794A16"/>
    <w:rsid w:val="00794EBF"/>
    <w:rsid w:val="007A02F0"/>
    <w:rsid w:val="007A5716"/>
    <w:rsid w:val="007A610F"/>
    <w:rsid w:val="007A7049"/>
    <w:rsid w:val="007B689E"/>
    <w:rsid w:val="007B70DD"/>
    <w:rsid w:val="007B74D7"/>
    <w:rsid w:val="007C1275"/>
    <w:rsid w:val="007C4523"/>
    <w:rsid w:val="007C46E4"/>
    <w:rsid w:val="007C6B68"/>
    <w:rsid w:val="007C6D31"/>
    <w:rsid w:val="007C7763"/>
    <w:rsid w:val="007D2086"/>
    <w:rsid w:val="007D2FA0"/>
    <w:rsid w:val="007D498E"/>
    <w:rsid w:val="007D501E"/>
    <w:rsid w:val="007E33BB"/>
    <w:rsid w:val="007E3418"/>
    <w:rsid w:val="007E3B2B"/>
    <w:rsid w:val="007E5E60"/>
    <w:rsid w:val="007E744A"/>
    <w:rsid w:val="007F2F9E"/>
    <w:rsid w:val="007F32E3"/>
    <w:rsid w:val="007F543F"/>
    <w:rsid w:val="008013DA"/>
    <w:rsid w:val="00801B56"/>
    <w:rsid w:val="0080457E"/>
    <w:rsid w:val="00805A73"/>
    <w:rsid w:val="00806FAE"/>
    <w:rsid w:val="008075D1"/>
    <w:rsid w:val="00813618"/>
    <w:rsid w:val="0081548E"/>
    <w:rsid w:val="00815923"/>
    <w:rsid w:val="0081647B"/>
    <w:rsid w:val="00816496"/>
    <w:rsid w:val="008164DA"/>
    <w:rsid w:val="00816AF4"/>
    <w:rsid w:val="00817D68"/>
    <w:rsid w:val="0082140D"/>
    <w:rsid w:val="00821FDF"/>
    <w:rsid w:val="00823E1E"/>
    <w:rsid w:val="00827640"/>
    <w:rsid w:val="00827F89"/>
    <w:rsid w:val="008326E3"/>
    <w:rsid w:val="00832784"/>
    <w:rsid w:val="00833EC0"/>
    <w:rsid w:val="008368DF"/>
    <w:rsid w:val="00837D93"/>
    <w:rsid w:val="00840FF3"/>
    <w:rsid w:val="008413CD"/>
    <w:rsid w:val="00842122"/>
    <w:rsid w:val="00844093"/>
    <w:rsid w:val="00844604"/>
    <w:rsid w:val="00846882"/>
    <w:rsid w:val="0085063E"/>
    <w:rsid w:val="00855758"/>
    <w:rsid w:val="00860561"/>
    <w:rsid w:val="00861527"/>
    <w:rsid w:val="00862139"/>
    <w:rsid w:val="00862732"/>
    <w:rsid w:val="00864446"/>
    <w:rsid w:val="0086651A"/>
    <w:rsid w:val="00866A50"/>
    <w:rsid w:val="00870F21"/>
    <w:rsid w:val="00880743"/>
    <w:rsid w:val="0088159C"/>
    <w:rsid w:val="008821C3"/>
    <w:rsid w:val="008829A8"/>
    <w:rsid w:val="00885BBD"/>
    <w:rsid w:val="00890019"/>
    <w:rsid w:val="00894D4B"/>
    <w:rsid w:val="00894E67"/>
    <w:rsid w:val="00897DF2"/>
    <w:rsid w:val="00897F91"/>
    <w:rsid w:val="008A15B1"/>
    <w:rsid w:val="008A26C3"/>
    <w:rsid w:val="008A3107"/>
    <w:rsid w:val="008A7D97"/>
    <w:rsid w:val="008B255E"/>
    <w:rsid w:val="008B2F9B"/>
    <w:rsid w:val="008B4964"/>
    <w:rsid w:val="008B6662"/>
    <w:rsid w:val="008B710A"/>
    <w:rsid w:val="008B74B5"/>
    <w:rsid w:val="008B7553"/>
    <w:rsid w:val="008C0328"/>
    <w:rsid w:val="008C27EA"/>
    <w:rsid w:val="008C5D16"/>
    <w:rsid w:val="008D0D5F"/>
    <w:rsid w:val="008D159D"/>
    <w:rsid w:val="008D2DCD"/>
    <w:rsid w:val="008D5432"/>
    <w:rsid w:val="008D5986"/>
    <w:rsid w:val="008D615A"/>
    <w:rsid w:val="008E323D"/>
    <w:rsid w:val="008E46A8"/>
    <w:rsid w:val="008E52E5"/>
    <w:rsid w:val="008E6250"/>
    <w:rsid w:val="008F0D7B"/>
    <w:rsid w:val="008F5E40"/>
    <w:rsid w:val="008F614C"/>
    <w:rsid w:val="008F7D2E"/>
    <w:rsid w:val="00901077"/>
    <w:rsid w:val="009014E2"/>
    <w:rsid w:val="00907FAE"/>
    <w:rsid w:val="00913E8A"/>
    <w:rsid w:val="00917545"/>
    <w:rsid w:val="0092145F"/>
    <w:rsid w:val="00922DB6"/>
    <w:rsid w:val="00922FA5"/>
    <w:rsid w:val="00924AA0"/>
    <w:rsid w:val="00926794"/>
    <w:rsid w:val="00926AFF"/>
    <w:rsid w:val="00927326"/>
    <w:rsid w:val="00931959"/>
    <w:rsid w:val="00931B60"/>
    <w:rsid w:val="0093414A"/>
    <w:rsid w:val="00937289"/>
    <w:rsid w:val="00940150"/>
    <w:rsid w:val="00941944"/>
    <w:rsid w:val="00944954"/>
    <w:rsid w:val="00946722"/>
    <w:rsid w:val="00946DFC"/>
    <w:rsid w:val="00950CFA"/>
    <w:rsid w:val="009522F2"/>
    <w:rsid w:val="0095326E"/>
    <w:rsid w:val="00957963"/>
    <w:rsid w:val="00965733"/>
    <w:rsid w:val="00966D5A"/>
    <w:rsid w:val="00967D2B"/>
    <w:rsid w:val="0097142B"/>
    <w:rsid w:val="0097181B"/>
    <w:rsid w:val="009731D5"/>
    <w:rsid w:val="00975B4F"/>
    <w:rsid w:val="00985E4C"/>
    <w:rsid w:val="00985E96"/>
    <w:rsid w:val="00986C32"/>
    <w:rsid w:val="00990D52"/>
    <w:rsid w:val="00992908"/>
    <w:rsid w:val="00997BFB"/>
    <w:rsid w:val="009A08DC"/>
    <w:rsid w:val="009A578F"/>
    <w:rsid w:val="009B031E"/>
    <w:rsid w:val="009B0C13"/>
    <w:rsid w:val="009B1F38"/>
    <w:rsid w:val="009B433B"/>
    <w:rsid w:val="009B561F"/>
    <w:rsid w:val="009B5EC1"/>
    <w:rsid w:val="009C0593"/>
    <w:rsid w:val="009C7E37"/>
    <w:rsid w:val="009D2388"/>
    <w:rsid w:val="009D3D99"/>
    <w:rsid w:val="009D6080"/>
    <w:rsid w:val="009E18C3"/>
    <w:rsid w:val="009E40CA"/>
    <w:rsid w:val="009E5E19"/>
    <w:rsid w:val="009F03DA"/>
    <w:rsid w:val="009F072C"/>
    <w:rsid w:val="009F1A01"/>
    <w:rsid w:val="009F509A"/>
    <w:rsid w:val="009F5A43"/>
    <w:rsid w:val="00A00701"/>
    <w:rsid w:val="00A01395"/>
    <w:rsid w:val="00A05DCA"/>
    <w:rsid w:val="00A10F7D"/>
    <w:rsid w:val="00A14766"/>
    <w:rsid w:val="00A1643C"/>
    <w:rsid w:val="00A17B9A"/>
    <w:rsid w:val="00A2079A"/>
    <w:rsid w:val="00A20CAB"/>
    <w:rsid w:val="00A21CA7"/>
    <w:rsid w:val="00A22A91"/>
    <w:rsid w:val="00A2564D"/>
    <w:rsid w:val="00A272C8"/>
    <w:rsid w:val="00A300A3"/>
    <w:rsid w:val="00A31421"/>
    <w:rsid w:val="00A33437"/>
    <w:rsid w:val="00A40171"/>
    <w:rsid w:val="00A41F44"/>
    <w:rsid w:val="00A43B0D"/>
    <w:rsid w:val="00A472B3"/>
    <w:rsid w:val="00A51B89"/>
    <w:rsid w:val="00A52468"/>
    <w:rsid w:val="00A52F38"/>
    <w:rsid w:val="00A54B85"/>
    <w:rsid w:val="00A5636D"/>
    <w:rsid w:val="00A56593"/>
    <w:rsid w:val="00A56795"/>
    <w:rsid w:val="00A6391E"/>
    <w:rsid w:val="00A65BC7"/>
    <w:rsid w:val="00A70124"/>
    <w:rsid w:val="00A71004"/>
    <w:rsid w:val="00A73457"/>
    <w:rsid w:val="00A73AA2"/>
    <w:rsid w:val="00A73F0D"/>
    <w:rsid w:val="00A755F5"/>
    <w:rsid w:val="00A821E7"/>
    <w:rsid w:val="00A834B6"/>
    <w:rsid w:val="00A842C1"/>
    <w:rsid w:val="00A875CD"/>
    <w:rsid w:val="00A97D9F"/>
    <w:rsid w:val="00AA0852"/>
    <w:rsid w:val="00AA1AC0"/>
    <w:rsid w:val="00AA64CF"/>
    <w:rsid w:val="00AA6B21"/>
    <w:rsid w:val="00AB01AC"/>
    <w:rsid w:val="00AB2C89"/>
    <w:rsid w:val="00AB468E"/>
    <w:rsid w:val="00AB4B53"/>
    <w:rsid w:val="00AB74AF"/>
    <w:rsid w:val="00AC3841"/>
    <w:rsid w:val="00AC3B7F"/>
    <w:rsid w:val="00AE16A9"/>
    <w:rsid w:val="00AE4E3F"/>
    <w:rsid w:val="00AF18B0"/>
    <w:rsid w:val="00AF25FD"/>
    <w:rsid w:val="00AF32EA"/>
    <w:rsid w:val="00AF3DEE"/>
    <w:rsid w:val="00B0095E"/>
    <w:rsid w:val="00B017D7"/>
    <w:rsid w:val="00B02C16"/>
    <w:rsid w:val="00B07442"/>
    <w:rsid w:val="00B10356"/>
    <w:rsid w:val="00B1055F"/>
    <w:rsid w:val="00B15494"/>
    <w:rsid w:val="00B165F2"/>
    <w:rsid w:val="00B17CFE"/>
    <w:rsid w:val="00B21479"/>
    <w:rsid w:val="00B24119"/>
    <w:rsid w:val="00B24C2A"/>
    <w:rsid w:val="00B25A4A"/>
    <w:rsid w:val="00B27A74"/>
    <w:rsid w:val="00B37CC1"/>
    <w:rsid w:val="00B41F16"/>
    <w:rsid w:val="00B42EB0"/>
    <w:rsid w:val="00B463E2"/>
    <w:rsid w:val="00B47FDE"/>
    <w:rsid w:val="00B51579"/>
    <w:rsid w:val="00B60048"/>
    <w:rsid w:val="00B65A27"/>
    <w:rsid w:val="00B65DAE"/>
    <w:rsid w:val="00B666E0"/>
    <w:rsid w:val="00B67EC7"/>
    <w:rsid w:val="00B7223A"/>
    <w:rsid w:val="00B73A22"/>
    <w:rsid w:val="00B7415F"/>
    <w:rsid w:val="00B82B8F"/>
    <w:rsid w:val="00B926DD"/>
    <w:rsid w:val="00B932DD"/>
    <w:rsid w:val="00B93677"/>
    <w:rsid w:val="00B95054"/>
    <w:rsid w:val="00B96F57"/>
    <w:rsid w:val="00B97ABD"/>
    <w:rsid w:val="00BA04C2"/>
    <w:rsid w:val="00BA1EC4"/>
    <w:rsid w:val="00BA21E0"/>
    <w:rsid w:val="00BA4919"/>
    <w:rsid w:val="00BA5928"/>
    <w:rsid w:val="00BA74CC"/>
    <w:rsid w:val="00BB0759"/>
    <w:rsid w:val="00BB3638"/>
    <w:rsid w:val="00BB38AE"/>
    <w:rsid w:val="00BB3B69"/>
    <w:rsid w:val="00BC158E"/>
    <w:rsid w:val="00BC2AFF"/>
    <w:rsid w:val="00BC7D86"/>
    <w:rsid w:val="00BD26FC"/>
    <w:rsid w:val="00BD3EEB"/>
    <w:rsid w:val="00BD41F5"/>
    <w:rsid w:val="00BD769D"/>
    <w:rsid w:val="00BE0762"/>
    <w:rsid w:val="00BE153D"/>
    <w:rsid w:val="00BE16B1"/>
    <w:rsid w:val="00BE1D27"/>
    <w:rsid w:val="00BE45EB"/>
    <w:rsid w:val="00BF0A7B"/>
    <w:rsid w:val="00BF37F4"/>
    <w:rsid w:val="00C02605"/>
    <w:rsid w:val="00C03108"/>
    <w:rsid w:val="00C05AF5"/>
    <w:rsid w:val="00C05C82"/>
    <w:rsid w:val="00C1012A"/>
    <w:rsid w:val="00C12447"/>
    <w:rsid w:val="00C1425D"/>
    <w:rsid w:val="00C160DC"/>
    <w:rsid w:val="00C2375A"/>
    <w:rsid w:val="00C23913"/>
    <w:rsid w:val="00C2583A"/>
    <w:rsid w:val="00C26750"/>
    <w:rsid w:val="00C26F65"/>
    <w:rsid w:val="00C304F7"/>
    <w:rsid w:val="00C305F0"/>
    <w:rsid w:val="00C3446F"/>
    <w:rsid w:val="00C345D3"/>
    <w:rsid w:val="00C35A0A"/>
    <w:rsid w:val="00C36401"/>
    <w:rsid w:val="00C43721"/>
    <w:rsid w:val="00C45044"/>
    <w:rsid w:val="00C4604D"/>
    <w:rsid w:val="00C47C5A"/>
    <w:rsid w:val="00C515DF"/>
    <w:rsid w:val="00C51861"/>
    <w:rsid w:val="00C518A2"/>
    <w:rsid w:val="00C529E1"/>
    <w:rsid w:val="00C561DC"/>
    <w:rsid w:val="00C56A31"/>
    <w:rsid w:val="00C573E8"/>
    <w:rsid w:val="00C62219"/>
    <w:rsid w:val="00C639C8"/>
    <w:rsid w:val="00C6554A"/>
    <w:rsid w:val="00C65CF8"/>
    <w:rsid w:val="00C66780"/>
    <w:rsid w:val="00C66AEA"/>
    <w:rsid w:val="00C679AF"/>
    <w:rsid w:val="00C67E0E"/>
    <w:rsid w:val="00C717AA"/>
    <w:rsid w:val="00C739D1"/>
    <w:rsid w:val="00C75A6A"/>
    <w:rsid w:val="00C76FDA"/>
    <w:rsid w:val="00C8058D"/>
    <w:rsid w:val="00C80E9D"/>
    <w:rsid w:val="00C841C3"/>
    <w:rsid w:val="00C85510"/>
    <w:rsid w:val="00C859E3"/>
    <w:rsid w:val="00C918FF"/>
    <w:rsid w:val="00C9340E"/>
    <w:rsid w:val="00C93E3F"/>
    <w:rsid w:val="00CA1FE6"/>
    <w:rsid w:val="00CB0069"/>
    <w:rsid w:val="00CB7880"/>
    <w:rsid w:val="00CC0453"/>
    <w:rsid w:val="00CC36AB"/>
    <w:rsid w:val="00CD02E9"/>
    <w:rsid w:val="00CD2738"/>
    <w:rsid w:val="00CD42DD"/>
    <w:rsid w:val="00CD4B12"/>
    <w:rsid w:val="00CD5919"/>
    <w:rsid w:val="00CE12A3"/>
    <w:rsid w:val="00CE2784"/>
    <w:rsid w:val="00CE5014"/>
    <w:rsid w:val="00CE6517"/>
    <w:rsid w:val="00CE77AE"/>
    <w:rsid w:val="00CF0F86"/>
    <w:rsid w:val="00CF124E"/>
    <w:rsid w:val="00CF196B"/>
    <w:rsid w:val="00CF2349"/>
    <w:rsid w:val="00CF3B18"/>
    <w:rsid w:val="00CF4C8A"/>
    <w:rsid w:val="00D02D11"/>
    <w:rsid w:val="00D040BE"/>
    <w:rsid w:val="00D04997"/>
    <w:rsid w:val="00D050B8"/>
    <w:rsid w:val="00D0517E"/>
    <w:rsid w:val="00D07A58"/>
    <w:rsid w:val="00D1406C"/>
    <w:rsid w:val="00D14748"/>
    <w:rsid w:val="00D14E97"/>
    <w:rsid w:val="00D21A8D"/>
    <w:rsid w:val="00D224BC"/>
    <w:rsid w:val="00D22F8A"/>
    <w:rsid w:val="00D25C7A"/>
    <w:rsid w:val="00D33167"/>
    <w:rsid w:val="00D37317"/>
    <w:rsid w:val="00D37717"/>
    <w:rsid w:val="00D41EAB"/>
    <w:rsid w:val="00D45F7A"/>
    <w:rsid w:val="00D5088F"/>
    <w:rsid w:val="00D511F1"/>
    <w:rsid w:val="00D51DCA"/>
    <w:rsid w:val="00D54D02"/>
    <w:rsid w:val="00D5591D"/>
    <w:rsid w:val="00D57E63"/>
    <w:rsid w:val="00D63408"/>
    <w:rsid w:val="00D649AD"/>
    <w:rsid w:val="00D64FA9"/>
    <w:rsid w:val="00D656AC"/>
    <w:rsid w:val="00D70BDC"/>
    <w:rsid w:val="00D72ACA"/>
    <w:rsid w:val="00D7392B"/>
    <w:rsid w:val="00D76EDF"/>
    <w:rsid w:val="00D810FD"/>
    <w:rsid w:val="00D8379E"/>
    <w:rsid w:val="00D868F7"/>
    <w:rsid w:val="00D86CA4"/>
    <w:rsid w:val="00D87F0F"/>
    <w:rsid w:val="00D9130A"/>
    <w:rsid w:val="00D93BFB"/>
    <w:rsid w:val="00D94342"/>
    <w:rsid w:val="00D94AA1"/>
    <w:rsid w:val="00D958B5"/>
    <w:rsid w:val="00D97C09"/>
    <w:rsid w:val="00DA040F"/>
    <w:rsid w:val="00DA2FB6"/>
    <w:rsid w:val="00DA61EA"/>
    <w:rsid w:val="00DB0577"/>
    <w:rsid w:val="00DB48C6"/>
    <w:rsid w:val="00DB5AA5"/>
    <w:rsid w:val="00DC1815"/>
    <w:rsid w:val="00DC6F2F"/>
    <w:rsid w:val="00DD217C"/>
    <w:rsid w:val="00DD5D88"/>
    <w:rsid w:val="00DD69EE"/>
    <w:rsid w:val="00DD7595"/>
    <w:rsid w:val="00DE154C"/>
    <w:rsid w:val="00DF1F8C"/>
    <w:rsid w:val="00DF7964"/>
    <w:rsid w:val="00E000A0"/>
    <w:rsid w:val="00E00CAE"/>
    <w:rsid w:val="00E02F30"/>
    <w:rsid w:val="00E05E7B"/>
    <w:rsid w:val="00E108CD"/>
    <w:rsid w:val="00E11133"/>
    <w:rsid w:val="00E11CD8"/>
    <w:rsid w:val="00E13245"/>
    <w:rsid w:val="00E168E2"/>
    <w:rsid w:val="00E17A0D"/>
    <w:rsid w:val="00E23797"/>
    <w:rsid w:val="00E244C5"/>
    <w:rsid w:val="00E309CA"/>
    <w:rsid w:val="00E33AD4"/>
    <w:rsid w:val="00E3797F"/>
    <w:rsid w:val="00E40EEE"/>
    <w:rsid w:val="00E41F80"/>
    <w:rsid w:val="00E4412C"/>
    <w:rsid w:val="00E5061D"/>
    <w:rsid w:val="00E50C69"/>
    <w:rsid w:val="00E51919"/>
    <w:rsid w:val="00E5266E"/>
    <w:rsid w:val="00E6268E"/>
    <w:rsid w:val="00E62C85"/>
    <w:rsid w:val="00E67317"/>
    <w:rsid w:val="00E70764"/>
    <w:rsid w:val="00E71240"/>
    <w:rsid w:val="00E754C7"/>
    <w:rsid w:val="00E75CE7"/>
    <w:rsid w:val="00E76FCE"/>
    <w:rsid w:val="00E82264"/>
    <w:rsid w:val="00E82611"/>
    <w:rsid w:val="00E84D37"/>
    <w:rsid w:val="00E85069"/>
    <w:rsid w:val="00E858A1"/>
    <w:rsid w:val="00E86D68"/>
    <w:rsid w:val="00E86FC4"/>
    <w:rsid w:val="00E9068C"/>
    <w:rsid w:val="00E913CF"/>
    <w:rsid w:val="00E936AA"/>
    <w:rsid w:val="00E9515C"/>
    <w:rsid w:val="00E9781E"/>
    <w:rsid w:val="00E97968"/>
    <w:rsid w:val="00EA0FD9"/>
    <w:rsid w:val="00EA20CF"/>
    <w:rsid w:val="00EA2559"/>
    <w:rsid w:val="00EA2566"/>
    <w:rsid w:val="00EA2DE1"/>
    <w:rsid w:val="00EA7200"/>
    <w:rsid w:val="00EA7C17"/>
    <w:rsid w:val="00EA7F3F"/>
    <w:rsid w:val="00EB0723"/>
    <w:rsid w:val="00EB19D9"/>
    <w:rsid w:val="00EB1D5B"/>
    <w:rsid w:val="00EB35A0"/>
    <w:rsid w:val="00EB4760"/>
    <w:rsid w:val="00EB5C79"/>
    <w:rsid w:val="00EC1976"/>
    <w:rsid w:val="00EC2388"/>
    <w:rsid w:val="00EC4183"/>
    <w:rsid w:val="00EC5AE4"/>
    <w:rsid w:val="00ED0F71"/>
    <w:rsid w:val="00EE2409"/>
    <w:rsid w:val="00EE443D"/>
    <w:rsid w:val="00EF1736"/>
    <w:rsid w:val="00EF1CF7"/>
    <w:rsid w:val="00EF54D4"/>
    <w:rsid w:val="00EF61BE"/>
    <w:rsid w:val="00EF6AE7"/>
    <w:rsid w:val="00EF72A4"/>
    <w:rsid w:val="00F00D0F"/>
    <w:rsid w:val="00F0205F"/>
    <w:rsid w:val="00F07095"/>
    <w:rsid w:val="00F113B1"/>
    <w:rsid w:val="00F15257"/>
    <w:rsid w:val="00F16143"/>
    <w:rsid w:val="00F1790F"/>
    <w:rsid w:val="00F17F5C"/>
    <w:rsid w:val="00F2104E"/>
    <w:rsid w:val="00F211CF"/>
    <w:rsid w:val="00F22B2C"/>
    <w:rsid w:val="00F30BE2"/>
    <w:rsid w:val="00F31A20"/>
    <w:rsid w:val="00F36DA6"/>
    <w:rsid w:val="00F423DA"/>
    <w:rsid w:val="00F43972"/>
    <w:rsid w:val="00F4404F"/>
    <w:rsid w:val="00F46199"/>
    <w:rsid w:val="00F472B6"/>
    <w:rsid w:val="00F50103"/>
    <w:rsid w:val="00F51C9F"/>
    <w:rsid w:val="00F55068"/>
    <w:rsid w:val="00F5697D"/>
    <w:rsid w:val="00F576E2"/>
    <w:rsid w:val="00F631C7"/>
    <w:rsid w:val="00F64296"/>
    <w:rsid w:val="00F64B54"/>
    <w:rsid w:val="00F6787A"/>
    <w:rsid w:val="00F75474"/>
    <w:rsid w:val="00F75904"/>
    <w:rsid w:val="00F75EBF"/>
    <w:rsid w:val="00F7659D"/>
    <w:rsid w:val="00F76C25"/>
    <w:rsid w:val="00F76ED0"/>
    <w:rsid w:val="00F7771F"/>
    <w:rsid w:val="00F804C7"/>
    <w:rsid w:val="00F8307A"/>
    <w:rsid w:val="00F84B75"/>
    <w:rsid w:val="00F87900"/>
    <w:rsid w:val="00F913D5"/>
    <w:rsid w:val="00F91925"/>
    <w:rsid w:val="00F932FC"/>
    <w:rsid w:val="00F934A2"/>
    <w:rsid w:val="00F9369C"/>
    <w:rsid w:val="00F948C8"/>
    <w:rsid w:val="00F9507F"/>
    <w:rsid w:val="00F95AEC"/>
    <w:rsid w:val="00F964C4"/>
    <w:rsid w:val="00FA033F"/>
    <w:rsid w:val="00FA2F62"/>
    <w:rsid w:val="00FB278D"/>
    <w:rsid w:val="00FB5D3A"/>
    <w:rsid w:val="00FB5F94"/>
    <w:rsid w:val="00FC01BE"/>
    <w:rsid w:val="00FC59E0"/>
    <w:rsid w:val="00FC5F7C"/>
    <w:rsid w:val="00FC6775"/>
    <w:rsid w:val="00FC7538"/>
    <w:rsid w:val="00FC7BCD"/>
    <w:rsid w:val="00FD006D"/>
    <w:rsid w:val="00FD1666"/>
    <w:rsid w:val="00FD1E87"/>
    <w:rsid w:val="00FD45B1"/>
    <w:rsid w:val="00FD465F"/>
    <w:rsid w:val="00FD5690"/>
    <w:rsid w:val="00FD7673"/>
    <w:rsid w:val="00FE14AC"/>
    <w:rsid w:val="00FE27BB"/>
    <w:rsid w:val="00FE2A31"/>
    <w:rsid w:val="00FE4448"/>
    <w:rsid w:val="00FF27A6"/>
    <w:rsid w:val="00FF37B8"/>
    <w:rsid w:val="00FF539D"/>
    <w:rsid w:val="00FF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8A4B"/>
  <w15:chartTrackingRefBased/>
  <w15:docId w15:val="{AD186848-733C-4A3B-B890-8062D377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20C1"/>
    <w:pPr>
      <w:spacing w:after="0" w:line="240" w:lineRule="auto"/>
    </w:pPr>
    <w:rPr>
      <w:sz w:val="20"/>
      <w:szCs w:val="20"/>
    </w:rPr>
  </w:style>
  <w:style w:type="character" w:customStyle="1" w:styleId="FootnoteTextChar">
    <w:name w:val="Footnote Text Char"/>
    <w:basedOn w:val="DefaultParagraphFont"/>
    <w:link w:val="FootnoteText"/>
    <w:uiPriority w:val="99"/>
    <w:rsid w:val="002120C1"/>
    <w:rPr>
      <w:sz w:val="20"/>
      <w:szCs w:val="20"/>
    </w:rPr>
  </w:style>
  <w:style w:type="character" w:styleId="FootnoteReference">
    <w:name w:val="footnote reference"/>
    <w:basedOn w:val="DefaultParagraphFont"/>
    <w:uiPriority w:val="99"/>
    <w:semiHidden/>
    <w:unhideWhenUsed/>
    <w:rsid w:val="002120C1"/>
    <w:rPr>
      <w:vertAlign w:val="superscript"/>
    </w:rPr>
  </w:style>
  <w:style w:type="paragraph" w:styleId="ListParagraph">
    <w:name w:val="List Paragraph"/>
    <w:basedOn w:val="Normal"/>
    <w:uiPriority w:val="34"/>
    <w:qFormat/>
    <w:rsid w:val="001A177C"/>
    <w:pPr>
      <w:ind w:left="720"/>
      <w:contextualSpacing/>
    </w:pPr>
  </w:style>
  <w:style w:type="character" w:styleId="Hyperlink">
    <w:name w:val="Hyperlink"/>
    <w:basedOn w:val="DefaultParagraphFont"/>
    <w:uiPriority w:val="99"/>
    <w:unhideWhenUsed/>
    <w:rsid w:val="005F3C03"/>
    <w:rPr>
      <w:color w:val="0563C1" w:themeColor="hyperlink"/>
      <w:u w:val="single"/>
    </w:rPr>
  </w:style>
  <w:style w:type="character" w:styleId="UnresolvedMention">
    <w:name w:val="Unresolved Mention"/>
    <w:basedOn w:val="DefaultParagraphFont"/>
    <w:uiPriority w:val="99"/>
    <w:semiHidden/>
    <w:unhideWhenUsed/>
    <w:rsid w:val="005F3C03"/>
    <w:rPr>
      <w:color w:val="605E5C"/>
      <w:shd w:val="clear" w:color="auto" w:fill="E1DFDD"/>
    </w:rPr>
  </w:style>
  <w:style w:type="character" w:styleId="LineNumber">
    <w:name w:val="line number"/>
    <w:basedOn w:val="DefaultParagraphFont"/>
    <w:uiPriority w:val="99"/>
    <w:semiHidden/>
    <w:unhideWhenUsed/>
    <w:rsid w:val="001C7F4F"/>
  </w:style>
  <w:style w:type="paragraph" w:styleId="Header">
    <w:name w:val="header"/>
    <w:basedOn w:val="Normal"/>
    <w:link w:val="HeaderChar"/>
    <w:uiPriority w:val="99"/>
    <w:unhideWhenUsed/>
    <w:rsid w:val="001C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F4F"/>
  </w:style>
  <w:style w:type="paragraph" w:styleId="Footer">
    <w:name w:val="footer"/>
    <w:basedOn w:val="Normal"/>
    <w:link w:val="FooterChar"/>
    <w:uiPriority w:val="99"/>
    <w:unhideWhenUsed/>
    <w:rsid w:val="001C7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F4F"/>
  </w:style>
  <w:style w:type="table" w:styleId="TableGrid">
    <w:name w:val="Table Grid"/>
    <w:basedOn w:val="TableNormal"/>
    <w:uiPriority w:val="39"/>
    <w:rsid w:val="00BB3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6491">
      <w:bodyDiv w:val="1"/>
      <w:marLeft w:val="0"/>
      <w:marRight w:val="0"/>
      <w:marTop w:val="0"/>
      <w:marBottom w:val="0"/>
      <w:divBdr>
        <w:top w:val="none" w:sz="0" w:space="0" w:color="auto"/>
        <w:left w:val="none" w:sz="0" w:space="0" w:color="auto"/>
        <w:bottom w:val="none" w:sz="0" w:space="0" w:color="auto"/>
        <w:right w:val="none" w:sz="0" w:space="0" w:color="auto"/>
      </w:divBdr>
      <w:divsChild>
        <w:div w:id="1029531811">
          <w:marLeft w:val="336"/>
          <w:marRight w:val="0"/>
          <w:marTop w:val="120"/>
          <w:marBottom w:val="312"/>
          <w:divBdr>
            <w:top w:val="none" w:sz="0" w:space="0" w:color="auto"/>
            <w:left w:val="none" w:sz="0" w:space="0" w:color="auto"/>
            <w:bottom w:val="none" w:sz="0" w:space="0" w:color="auto"/>
            <w:right w:val="none" w:sz="0" w:space="0" w:color="auto"/>
          </w:divBdr>
          <w:divsChild>
            <w:div w:id="910488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7475950">
          <w:marLeft w:val="0"/>
          <w:marRight w:val="0"/>
          <w:marTop w:val="0"/>
          <w:marBottom w:val="120"/>
          <w:divBdr>
            <w:top w:val="none" w:sz="0" w:space="0" w:color="auto"/>
            <w:left w:val="none" w:sz="0" w:space="0" w:color="auto"/>
            <w:bottom w:val="none" w:sz="0" w:space="0" w:color="auto"/>
            <w:right w:val="none" w:sz="0" w:space="0" w:color="auto"/>
          </w:divBdr>
        </w:div>
        <w:div w:id="1234005917">
          <w:marLeft w:val="336"/>
          <w:marRight w:val="0"/>
          <w:marTop w:val="120"/>
          <w:marBottom w:val="312"/>
          <w:divBdr>
            <w:top w:val="none" w:sz="0" w:space="0" w:color="auto"/>
            <w:left w:val="none" w:sz="0" w:space="0" w:color="auto"/>
            <w:bottom w:val="none" w:sz="0" w:space="0" w:color="auto"/>
            <w:right w:val="none" w:sz="0" w:space="0" w:color="auto"/>
          </w:divBdr>
          <w:divsChild>
            <w:div w:id="760613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qualityhumanrights.com/en/human-rights-act/article-3-freedom-torture-and-inhuman-or-degrading-treatment" TargetMode="External"/><Relationship Id="rId2" Type="http://schemas.openxmlformats.org/officeDocument/2006/relationships/hyperlink" Target="https://heinonline.org/HOL/LandingPage?handle=hein.journals/hrlr3&amp;div=17&amp;id=&amp;page=%20" TargetMode="External"/><Relationship Id="rId1" Type="http://schemas.openxmlformats.org/officeDocument/2006/relationships/hyperlink" Target="https://brill.com/view/journals/bi/13/2/article-p107_1.xml" TargetMode="External"/><Relationship Id="rId4" Type="http://schemas.openxmlformats.org/officeDocument/2006/relationships/hyperlink" Target="https://www.bbc.co.uk/news/uk-31647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625C-D913-47E1-87FD-937326BA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54</Pages>
  <Words>10502</Words>
  <Characters>59864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raheema mohamoud</dc:creator>
  <cp:keywords/>
  <dc:description/>
  <cp:lastModifiedBy>raheema mohamoud</cp:lastModifiedBy>
  <cp:revision>3</cp:revision>
  <cp:lastPrinted>2020-03-27T01:09:00Z</cp:lastPrinted>
  <dcterms:created xsi:type="dcterms:W3CDTF">2020-03-27T01:09:00Z</dcterms:created>
  <dcterms:modified xsi:type="dcterms:W3CDTF">2020-03-28T13:54:00Z</dcterms:modified>
</cp:coreProperties>
</file>